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CD" w:rsidRDefault="000D0DCD" w:rsidP="00927D98">
      <w:pPr>
        <w:jc w:val="center"/>
      </w:pPr>
      <w:r>
        <w:t>МИНИСТЕРСТВО ЗДРАВООХРАНЕНИЯ РОССИЙСКОЙ ФЕДЕРАЦИИ</w:t>
      </w:r>
    </w:p>
    <w:p w:rsidR="000D0DCD" w:rsidRDefault="000D0DCD" w:rsidP="000D0DCD">
      <w:pPr>
        <w:jc w:val="center"/>
        <w:rPr>
          <w:b/>
        </w:rPr>
      </w:pPr>
      <w:r w:rsidRPr="000D0DCD">
        <w:rPr>
          <w:b/>
        </w:rPr>
        <w:t>ИНСТРУКЦИЯ</w:t>
      </w:r>
    </w:p>
    <w:p w:rsidR="000D0DCD" w:rsidRDefault="000D0DCD" w:rsidP="000D0DCD">
      <w:pPr>
        <w:jc w:val="center"/>
      </w:pPr>
      <w:r>
        <w:t>по медицинскому применению лекарственного препарата</w:t>
      </w:r>
    </w:p>
    <w:p w:rsidR="000D0DCD" w:rsidRDefault="000D0DCD" w:rsidP="000D0DCD">
      <w:pPr>
        <w:jc w:val="center"/>
        <w:rPr>
          <w:b/>
        </w:rPr>
      </w:pPr>
      <w:r w:rsidRPr="000D0DCD">
        <w:rPr>
          <w:b/>
        </w:rPr>
        <w:t xml:space="preserve">МОНОФЕР </w:t>
      </w:r>
    </w:p>
    <w:p w:rsidR="000D0DCD" w:rsidRDefault="000D0DCD" w:rsidP="000D0DCD">
      <w:pPr>
        <w:jc w:val="center"/>
        <w:rPr>
          <w:b/>
        </w:rPr>
      </w:pPr>
    </w:p>
    <w:p w:rsidR="000D0DCD" w:rsidRDefault="000D0DCD" w:rsidP="008C428A">
      <w:pPr>
        <w:jc w:val="both"/>
        <w:rPr>
          <w:b/>
        </w:rPr>
      </w:pPr>
      <w:r>
        <w:rPr>
          <w:b/>
        </w:rPr>
        <w:t>Регистрационный номер: ЛП-001499</w:t>
      </w:r>
    </w:p>
    <w:p w:rsidR="000D0DCD" w:rsidRDefault="000D0DCD" w:rsidP="008C428A">
      <w:pPr>
        <w:jc w:val="both"/>
      </w:pPr>
      <w:r>
        <w:rPr>
          <w:b/>
        </w:rPr>
        <w:t xml:space="preserve">Торговое наименование: </w:t>
      </w:r>
      <w:r w:rsidRPr="000D0DCD">
        <w:t xml:space="preserve">Монофер </w:t>
      </w:r>
    </w:p>
    <w:p w:rsidR="000D0DCD" w:rsidRDefault="000D0DCD" w:rsidP="008C428A">
      <w:pPr>
        <w:jc w:val="both"/>
      </w:pPr>
      <w:r w:rsidRPr="000D0DCD">
        <w:rPr>
          <w:b/>
        </w:rPr>
        <w:t xml:space="preserve">Международное непатентованное или группировочное наименование: </w:t>
      </w:r>
      <w:r w:rsidRPr="000D0DCD">
        <w:t>Железа [</w:t>
      </w:r>
      <w:r w:rsidRPr="000D0DCD">
        <w:rPr>
          <w:lang w:val="en-US"/>
        </w:rPr>
        <w:t>III</w:t>
      </w:r>
      <w:r w:rsidRPr="000D0DCD">
        <w:t xml:space="preserve">] гидроксид олигоизомальтозат  </w:t>
      </w:r>
    </w:p>
    <w:p w:rsidR="000D0DCD" w:rsidRDefault="000D0DCD" w:rsidP="008C428A">
      <w:pPr>
        <w:jc w:val="both"/>
      </w:pPr>
      <w:r w:rsidRPr="000D0DCD">
        <w:rPr>
          <w:b/>
        </w:rPr>
        <w:t>Лекарственная форма:</w:t>
      </w:r>
      <w:r>
        <w:t xml:space="preserve"> раствор для внутривенного введения </w:t>
      </w:r>
    </w:p>
    <w:p w:rsidR="000D0DCD" w:rsidRPr="000D0DCD" w:rsidRDefault="000D0DCD" w:rsidP="008C428A">
      <w:pPr>
        <w:jc w:val="both"/>
        <w:rPr>
          <w:b/>
        </w:rPr>
      </w:pPr>
      <w:r w:rsidRPr="000D0DCD">
        <w:rPr>
          <w:b/>
        </w:rPr>
        <w:t>Состав</w:t>
      </w:r>
    </w:p>
    <w:p w:rsidR="000D0DCD" w:rsidRDefault="000D0DCD" w:rsidP="008C428A">
      <w:pPr>
        <w:jc w:val="both"/>
      </w:pPr>
      <w:r>
        <w:t xml:space="preserve">1 мл препарата, изготовленного на производственной площадке </w:t>
      </w:r>
      <w:proofErr w:type="spellStart"/>
      <w:r w:rsidRPr="000D0DCD">
        <w:rPr>
          <w:b/>
        </w:rPr>
        <w:t>Солюфарм</w:t>
      </w:r>
      <w:proofErr w:type="spellEnd"/>
      <w:r w:rsidRPr="000D0DCD">
        <w:rPr>
          <w:b/>
        </w:rPr>
        <w:t xml:space="preserve"> </w:t>
      </w:r>
      <w:proofErr w:type="spellStart"/>
      <w:r w:rsidRPr="000D0DCD">
        <w:rPr>
          <w:b/>
        </w:rPr>
        <w:t>Фармацойтише</w:t>
      </w:r>
      <w:proofErr w:type="spellEnd"/>
      <w:r w:rsidRPr="000D0DCD">
        <w:rPr>
          <w:b/>
        </w:rPr>
        <w:t xml:space="preserve"> </w:t>
      </w:r>
      <w:proofErr w:type="spellStart"/>
      <w:r w:rsidRPr="000D0DCD">
        <w:rPr>
          <w:b/>
        </w:rPr>
        <w:t>Эрцойгниссе</w:t>
      </w:r>
      <w:proofErr w:type="spellEnd"/>
      <w:r w:rsidRPr="000D0DCD">
        <w:rPr>
          <w:b/>
        </w:rPr>
        <w:t xml:space="preserve"> </w:t>
      </w:r>
      <w:proofErr w:type="spellStart"/>
      <w:r w:rsidRPr="000D0DCD">
        <w:rPr>
          <w:b/>
        </w:rPr>
        <w:t>ГмбХ</w:t>
      </w:r>
      <w:proofErr w:type="spellEnd"/>
      <w:r w:rsidRPr="000D0DCD">
        <w:rPr>
          <w:b/>
        </w:rPr>
        <w:t>, Германия,</w:t>
      </w:r>
      <w:r>
        <w:t xml:space="preserve"> содержит: </w:t>
      </w:r>
    </w:p>
    <w:p w:rsidR="000D0DCD" w:rsidRDefault="000D0DCD" w:rsidP="008C428A">
      <w:pPr>
        <w:jc w:val="both"/>
      </w:pPr>
      <w:r>
        <w:rPr>
          <w:i/>
        </w:rPr>
        <w:t>а</w:t>
      </w:r>
      <w:r w:rsidRPr="000D0DCD">
        <w:rPr>
          <w:i/>
        </w:rPr>
        <w:t xml:space="preserve">ктивное вещество: </w:t>
      </w:r>
      <w:r>
        <w:t>железа</w:t>
      </w:r>
      <w:r w:rsidRPr="000D0DCD">
        <w:t xml:space="preserve"> [</w:t>
      </w:r>
      <w:r>
        <w:rPr>
          <w:lang w:val="en-US"/>
        </w:rPr>
        <w:t>III</w:t>
      </w:r>
      <w:r w:rsidRPr="000D0DCD">
        <w:t xml:space="preserve">] </w:t>
      </w:r>
      <w:r>
        <w:t>гидроксид олигоизомальтозат 417, 0 мг (в пересчете на железо 100, 0 мг);</w:t>
      </w:r>
    </w:p>
    <w:p w:rsidR="000D0DCD" w:rsidRDefault="000D0DCD" w:rsidP="008C428A">
      <w:pPr>
        <w:jc w:val="both"/>
      </w:pPr>
      <w:r w:rsidRPr="000D0DCD">
        <w:rPr>
          <w:i/>
        </w:rPr>
        <w:t>вспомогательные вещества:</w:t>
      </w:r>
      <w:r>
        <w:t xml:space="preserve"> хлористоводородная кислота 25% или натрия гидроксида раствор 10 М до рН 5,5, вода для инъекций до 1,0 мл.</w:t>
      </w:r>
    </w:p>
    <w:p w:rsidR="000D0DCD" w:rsidRDefault="000D0DCD" w:rsidP="008C428A">
      <w:pPr>
        <w:jc w:val="both"/>
      </w:pPr>
      <w:r>
        <w:t xml:space="preserve">1 мл препарата, изготовленного на производственной площадке </w:t>
      </w:r>
      <w:proofErr w:type="spellStart"/>
      <w:r w:rsidRPr="000D0DCD">
        <w:rPr>
          <w:b/>
        </w:rPr>
        <w:t>Вассербургер</w:t>
      </w:r>
      <w:proofErr w:type="spellEnd"/>
      <w:r w:rsidRPr="000D0DCD">
        <w:rPr>
          <w:b/>
        </w:rPr>
        <w:t xml:space="preserve"> </w:t>
      </w:r>
      <w:proofErr w:type="spellStart"/>
      <w:r w:rsidRPr="000D0DCD">
        <w:rPr>
          <w:b/>
        </w:rPr>
        <w:t>Арцнеймиттельверк</w:t>
      </w:r>
      <w:proofErr w:type="spellEnd"/>
      <w:r w:rsidRPr="000D0DCD">
        <w:rPr>
          <w:b/>
        </w:rPr>
        <w:t xml:space="preserve"> </w:t>
      </w:r>
      <w:proofErr w:type="spellStart"/>
      <w:r w:rsidRPr="000D0DCD">
        <w:rPr>
          <w:b/>
        </w:rPr>
        <w:t>ГмбХ</w:t>
      </w:r>
      <w:proofErr w:type="spellEnd"/>
      <w:r w:rsidRPr="000D0DCD">
        <w:rPr>
          <w:b/>
        </w:rPr>
        <w:t>, Германия</w:t>
      </w:r>
      <w:r>
        <w:t xml:space="preserve">, содержит: </w:t>
      </w:r>
    </w:p>
    <w:p w:rsidR="000D0DCD" w:rsidRDefault="000D0DCD" w:rsidP="008C428A">
      <w:pPr>
        <w:jc w:val="both"/>
      </w:pPr>
      <w:r w:rsidRPr="000D0DCD">
        <w:rPr>
          <w:i/>
        </w:rPr>
        <w:t>активное вещество:</w:t>
      </w:r>
      <w:r>
        <w:t xml:space="preserve"> железа</w:t>
      </w:r>
      <w:r w:rsidRPr="000D0DCD">
        <w:t xml:space="preserve"> [</w:t>
      </w:r>
      <w:r>
        <w:rPr>
          <w:lang w:val="en-US"/>
        </w:rPr>
        <w:t>III</w:t>
      </w:r>
      <w:r w:rsidRPr="000D0DCD">
        <w:t xml:space="preserve">] </w:t>
      </w:r>
      <w:r>
        <w:t>гидроксид олигоизомальтозат 417, 0 мг (в пересчете на железо 100, 0 мг);</w:t>
      </w:r>
    </w:p>
    <w:p w:rsidR="000D0DCD" w:rsidRDefault="000D0DCD" w:rsidP="008C428A">
      <w:pPr>
        <w:jc w:val="both"/>
      </w:pPr>
      <w:r w:rsidRPr="000D0DCD">
        <w:rPr>
          <w:i/>
        </w:rPr>
        <w:t>вспомогательные вещества:</w:t>
      </w:r>
      <w:r>
        <w:rPr>
          <w:i/>
        </w:rPr>
        <w:t xml:space="preserve"> </w:t>
      </w:r>
      <w:r>
        <w:t>1 М раствора хлористоводородной кислоты или 1 М раствор натрия гидроксида до рН 5,5, вода для инъекций до 1,0 мл</w:t>
      </w:r>
    </w:p>
    <w:p w:rsidR="000D0DCD" w:rsidRDefault="000D0DCD" w:rsidP="008C428A">
      <w:pPr>
        <w:jc w:val="both"/>
        <w:rPr>
          <w:b/>
        </w:rPr>
      </w:pPr>
      <w:r w:rsidRPr="000D0DCD">
        <w:rPr>
          <w:b/>
        </w:rPr>
        <w:t>Описание</w:t>
      </w:r>
    </w:p>
    <w:p w:rsidR="000D0DCD" w:rsidRDefault="000D0DCD" w:rsidP="008C428A">
      <w:pPr>
        <w:jc w:val="both"/>
      </w:pPr>
      <w:r>
        <w:t>Темно-коричневый раствор</w:t>
      </w:r>
    </w:p>
    <w:p w:rsidR="000D0DCD" w:rsidRDefault="000D0DCD" w:rsidP="008C428A">
      <w:pPr>
        <w:jc w:val="both"/>
      </w:pPr>
      <w:r w:rsidRPr="0095230B">
        <w:rPr>
          <w:b/>
        </w:rPr>
        <w:t>ФАРМАКОТЕРАПЕВТИЧЕСКАЯ ГРУППА</w:t>
      </w:r>
      <w:r>
        <w:t>: препарат железа</w:t>
      </w:r>
    </w:p>
    <w:p w:rsidR="0095230B" w:rsidRPr="006B11D8" w:rsidRDefault="000D0DCD" w:rsidP="008C428A">
      <w:pPr>
        <w:jc w:val="both"/>
      </w:pPr>
      <w:r w:rsidRPr="0095230B">
        <w:rPr>
          <w:b/>
        </w:rPr>
        <w:t xml:space="preserve">Код </w:t>
      </w:r>
      <w:r w:rsidR="0095230B" w:rsidRPr="0095230B">
        <w:rPr>
          <w:b/>
          <w:lang w:val="en-US"/>
        </w:rPr>
        <w:t>ATX</w:t>
      </w:r>
      <w:r w:rsidR="0095230B" w:rsidRPr="0095230B">
        <w:rPr>
          <w:b/>
        </w:rPr>
        <w:t>:</w:t>
      </w:r>
      <w:r w:rsidR="0095230B">
        <w:t xml:space="preserve"> </w:t>
      </w:r>
      <w:r w:rsidR="0095230B">
        <w:rPr>
          <w:lang w:val="en-US"/>
        </w:rPr>
        <w:t>B</w:t>
      </w:r>
      <w:r w:rsidR="0095230B" w:rsidRPr="006B11D8">
        <w:t>0</w:t>
      </w:r>
      <w:r w:rsidR="0095230B">
        <w:t>3</w:t>
      </w:r>
      <w:r w:rsidR="0095230B">
        <w:rPr>
          <w:lang w:val="en-US"/>
        </w:rPr>
        <w:t>AC</w:t>
      </w:r>
    </w:p>
    <w:p w:rsidR="0095230B" w:rsidRPr="0095230B" w:rsidRDefault="0095230B" w:rsidP="008C428A">
      <w:pPr>
        <w:jc w:val="both"/>
        <w:rPr>
          <w:b/>
        </w:rPr>
      </w:pPr>
      <w:r w:rsidRPr="0095230B">
        <w:rPr>
          <w:b/>
        </w:rPr>
        <w:t>ФАРМАКОЛОГИЧЕСКИЕ СВОЙСТВА</w:t>
      </w:r>
    </w:p>
    <w:p w:rsidR="0095230B" w:rsidRDefault="0095230B" w:rsidP="008C428A">
      <w:pPr>
        <w:jc w:val="both"/>
        <w:rPr>
          <w:b/>
        </w:rPr>
      </w:pPr>
      <w:r w:rsidRPr="0095230B">
        <w:rPr>
          <w:b/>
        </w:rPr>
        <w:t xml:space="preserve">Фармакодинамика </w:t>
      </w:r>
    </w:p>
    <w:p w:rsidR="00E75595" w:rsidRDefault="006B11D8" w:rsidP="008C428A">
      <w:pPr>
        <w:jc w:val="both"/>
      </w:pPr>
      <w:r w:rsidRPr="006B11D8">
        <w:t>Монофер, раствор для внутривенного введения, представляет собой коллоидную структуру, сферические частицы которой состоят из железа, прочно связанного с углеводным фрагментом. Коллоидный комплекс представляет собой стабиль</w:t>
      </w:r>
      <w:r w:rsidR="008B7EA2">
        <w:t>ную структуру матричного типа, в</w:t>
      </w:r>
      <w:r w:rsidRPr="006B11D8">
        <w:t xml:space="preserve"> которой около 10 атомов железа (</w:t>
      </w:r>
      <w:r w:rsidRPr="006B11D8">
        <w:rPr>
          <w:lang w:val="en-US"/>
        </w:rPr>
        <w:t>III</w:t>
      </w:r>
      <w:r w:rsidRPr="006B11D8">
        <w:t>) связаны с одной молекулой пентамера изомальтозида;</w:t>
      </w:r>
      <w:r>
        <w:rPr>
          <w:b/>
        </w:rPr>
        <w:t xml:space="preserve"> </w:t>
      </w:r>
      <w:r>
        <w:t xml:space="preserve">атомы железа </w:t>
      </w:r>
      <w:r w:rsidRPr="006B11D8">
        <w:t>(</w:t>
      </w:r>
      <w:r>
        <w:rPr>
          <w:lang w:val="en-US"/>
        </w:rPr>
        <w:t>III</w:t>
      </w:r>
      <w:r w:rsidRPr="006B11D8">
        <w:t xml:space="preserve">) </w:t>
      </w:r>
      <w:r>
        <w:t xml:space="preserve">встроены в карманы трехмерной структуры пентамеров изомальтозида. Вследствие прочного связывания железа в матрице, содержание свободного железа в растворе препарата Монофер очень низкое. Углеводный комплекс препарата Монофер, изомальтозид 1000, имеет среднюю молекулярную массу примерно 1000 </w:t>
      </w:r>
      <w:proofErr w:type="spellStart"/>
      <w:r>
        <w:t>кДА</w:t>
      </w:r>
      <w:proofErr w:type="spellEnd"/>
      <w:r>
        <w:t xml:space="preserve"> и состоит из 3-5 единиц глюкозы. Этот компонент не име</w:t>
      </w:r>
      <w:r w:rsidR="00EA1833">
        <w:t>е</w:t>
      </w:r>
      <w:r w:rsidR="00370573">
        <w:t>т выраженной разветвленности</w:t>
      </w:r>
      <w:r>
        <w:t xml:space="preserve"> структуры и не содержит остатков восстанавливающих </w:t>
      </w:r>
      <w:r>
        <w:lastRenderedPageBreak/>
        <w:t xml:space="preserve">сахаров, которые могут быть вовлечены в сложные окислительно-восстановительные реакции. С учетом этих характеристик комплексообразующего углевода изомальтозида 1000, маловероятно, что изомальтозид 1000 может индуцировать иммунные реакции </w:t>
      </w:r>
      <w:r>
        <w:rPr>
          <w:lang w:val="en-US"/>
        </w:rPr>
        <w:t>In</w:t>
      </w:r>
      <w:r w:rsidRPr="006B11D8">
        <w:t xml:space="preserve"> </w:t>
      </w:r>
      <w:r>
        <w:rPr>
          <w:lang w:val="en-US"/>
        </w:rPr>
        <w:t>vivo</w:t>
      </w:r>
      <w:r>
        <w:t xml:space="preserve">. Железо доступно в неионной водорастворимой форме в водном растворе с </w:t>
      </w:r>
      <w:r>
        <w:rPr>
          <w:lang w:val="en-US"/>
        </w:rPr>
        <w:t>pH</w:t>
      </w:r>
      <w:r w:rsidRPr="006B11D8">
        <w:t xml:space="preserve"> </w:t>
      </w:r>
      <w:r>
        <w:t>от 5,0 до 7,0. Вв</w:t>
      </w:r>
      <w:r w:rsidR="00E75595">
        <w:t>иду низкой токсичности препарат</w:t>
      </w:r>
      <w:r>
        <w:t xml:space="preserve"> Монофер может применяться </w:t>
      </w:r>
      <w:r w:rsidR="00E75595">
        <w:t xml:space="preserve">в высоких дозах. Эффективность препарата отмечается через несколько дней после начала лечения и подтверждается ростом числа ретикулоцитов в крови. Максимальная концентрация ферритина в плазме крови достигается приблизительно через 7-9 дней после однократного внутривенного введения препарата, а затем медленно возвращается к исходной концентрации через 3 недели. </w:t>
      </w:r>
    </w:p>
    <w:p w:rsidR="00E75595" w:rsidRDefault="00E75595" w:rsidP="008C428A">
      <w:pPr>
        <w:jc w:val="both"/>
        <w:rPr>
          <w:b/>
        </w:rPr>
      </w:pPr>
      <w:r w:rsidRPr="00E75595">
        <w:rPr>
          <w:b/>
        </w:rPr>
        <w:t>Фармакокинетика</w:t>
      </w:r>
    </w:p>
    <w:p w:rsidR="00E75595" w:rsidRPr="00EA1833" w:rsidRDefault="00E75595" w:rsidP="008C428A">
      <w:pPr>
        <w:jc w:val="both"/>
        <w:rPr>
          <w:b/>
        </w:rPr>
      </w:pPr>
      <w:r>
        <w:t>Препарат Монофер содержит железо, прочно связанное с комплексом, который обеспечивает контролируемое и медленное высвобождение биодоступного железа при незначительном риске образования свободного железа. После однократного внутривенного введения препарата Монофер, железа изомальтозид 1000 быстро захватывается клетками ретикул</w:t>
      </w:r>
      <w:r w:rsidR="00370573">
        <w:t>оэндотелиальной системы (РЭС), г</w:t>
      </w:r>
      <w:r>
        <w:t xml:space="preserve">лавным образом, печени и селезенки, которые затем постепенно высвобождают железо в кровь. Период полувыведения (Т ½) составляет 5 часов для железа в системном кровотоке и 20 часов – суммарно для связанного и находящегося в системном кровотоке железа. Из сосудистого русла железо утилизируется клетками РЭС, которые расщепляют комплекс на его компоненты – железо и изомальтозид 1000. Железо немедленно связывается с эндогенными белками, образуя ферритин или гемосидерин, физиологические формы депонирования железа, или, в меньшей степени, вступают в связь с транспортной молекулой, трансферрином. </w:t>
      </w:r>
      <w:r w:rsidR="00EA1833">
        <w:t>Таким образом, метаболизм железа в организме контролируется физиологически, и, в результате, происходи</w:t>
      </w:r>
      <w:r w:rsidR="00370573">
        <w:t>т</w:t>
      </w:r>
      <w:r w:rsidR="00EA1833">
        <w:t xml:space="preserve"> повышение гемоглобина в плазме крови и пополнение запасов железа в депо. Железо выводится из организма в ограниченном количестве, его накопление может быть токсичным. Монофер в неизменном виде не выводится почками из-за большого размера комплекса. Небольшие количества железа выводятся почками и кишечником. Изомальтозид 1000 также </w:t>
      </w:r>
      <w:r w:rsidR="00EA1833" w:rsidRPr="00EA1833">
        <w:t>метаболизируется и выводится.</w:t>
      </w:r>
      <w:r w:rsidR="00EA1833" w:rsidRPr="00EA1833">
        <w:rPr>
          <w:b/>
        </w:rPr>
        <w:t xml:space="preserve">  </w:t>
      </w:r>
    </w:p>
    <w:p w:rsidR="00EA1833" w:rsidRDefault="00EA1833" w:rsidP="008C428A">
      <w:pPr>
        <w:jc w:val="both"/>
        <w:rPr>
          <w:b/>
        </w:rPr>
      </w:pPr>
      <w:r w:rsidRPr="00EA1833">
        <w:rPr>
          <w:b/>
        </w:rPr>
        <w:t>Доклинические данные по безопасности</w:t>
      </w:r>
    </w:p>
    <w:p w:rsidR="00EA1833" w:rsidRDefault="00EA1833" w:rsidP="008C428A">
      <w:pPr>
        <w:jc w:val="both"/>
      </w:pPr>
      <w:r w:rsidRPr="00EA1833">
        <w:t xml:space="preserve">Комплексы железа, согласно данным исследований, оказывают </w:t>
      </w:r>
      <w:r w:rsidR="00774A71" w:rsidRPr="00EA1833">
        <w:t>тератогенное</w:t>
      </w:r>
      <w:r w:rsidRPr="00EA1833">
        <w:t xml:space="preserve"> или эмбриоцидное действие у не имеющих анемии беременных животных при однократном введении высоких доз (свыше 125 мг железа/кг массы тела). Рекомендуемая максимальная доза в клинической практике составляет 20 мг железа/кг массы тела. </w:t>
      </w:r>
    </w:p>
    <w:p w:rsidR="00CE5508" w:rsidRDefault="00CE5508" w:rsidP="008C428A">
      <w:pPr>
        <w:jc w:val="both"/>
        <w:rPr>
          <w:b/>
        </w:rPr>
      </w:pPr>
      <w:r w:rsidRPr="00CE5508">
        <w:rPr>
          <w:b/>
        </w:rPr>
        <w:t>ПОКАЗАНИЯ К ПРИМЕНЕНИЮ</w:t>
      </w:r>
    </w:p>
    <w:p w:rsidR="00CE5508" w:rsidRDefault="00CE5508" w:rsidP="008C428A">
      <w:pPr>
        <w:jc w:val="both"/>
      </w:pPr>
      <w:r>
        <w:t>Для лечения железодефицитных состояний в следующих случаях:</w:t>
      </w:r>
    </w:p>
    <w:p w:rsidR="00CE5508" w:rsidRDefault="00CE5508" w:rsidP="008C428A">
      <w:pPr>
        <w:jc w:val="both"/>
      </w:pPr>
      <w:r>
        <w:t>- при отсутствии эффективности или невозможности применения пероральных препаратов железа;</w:t>
      </w:r>
    </w:p>
    <w:p w:rsidR="00CE5508" w:rsidRDefault="00CE5508" w:rsidP="008C428A">
      <w:pPr>
        <w:jc w:val="both"/>
      </w:pPr>
      <w:r>
        <w:t>- при необходимости быстрого восполнения железа.</w:t>
      </w:r>
    </w:p>
    <w:p w:rsidR="00CE5508" w:rsidRDefault="00CE5508" w:rsidP="008C428A">
      <w:pPr>
        <w:jc w:val="both"/>
        <w:rPr>
          <w:b/>
        </w:rPr>
      </w:pPr>
      <w:r w:rsidRPr="00CE5508">
        <w:rPr>
          <w:b/>
        </w:rPr>
        <w:t>ПРОТИВОПОКАЗАНИЯ</w:t>
      </w:r>
    </w:p>
    <w:p w:rsidR="00774A71" w:rsidRDefault="001B62E0" w:rsidP="008C428A">
      <w:pPr>
        <w:jc w:val="both"/>
      </w:pPr>
      <w:r>
        <w:t xml:space="preserve">- Повышенная чувствительность </w:t>
      </w:r>
      <w:proofErr w:type="gramStart"/>
      <w:r>
        <w:t xml:space="preserve">к </w:t>
      </w:r>
      <w:r w:rsidR="00774A71">
        <w:t>железа</w:t>
      </w:r>
      <w:proofErr w:type="gramEnd"/>
      <w:r w:rsidR="00774A71">
        <w:t xml:space="preserve"> </w:t>
      </w:r>
      <w:r w:rsidR="00774A71" w:rsidRPr="00774A71">
        <w:t>(</w:t>
      </w:r>
      <w:r w:rsidR="00774A71">
        <w:rPr>
          <w:lang w:val="en-US"/>
        </w:rPr>
        <w:t>III</w:t>
      </w:r>
      <w:r w:rsidR="00774A71" w:rsidRPr="00774A71">
        <w:t>)</w:t>
      </w:r>
      <w:r w:rsidR="00774A71">
        <w:t xml:space="preserve"> гидроксид олигоизомальтозату (изомальтозиду 1000) и вспомогательным веществам, входящим в состав препарата; </w:t>
      </w:r>
    </w:p>
    <w:p w:rsidR="00774A71" w:rsidRDefault="00774A71" w:rsidP="008C428A">
      <w:pPr>
        <w:jc w:val="both"/>
      </w:pPr>
      <w:r>
        <w:t>- Серьезные аллергические реакции на иные парентеральные препараты железа;</w:t>
      </w:r>
    </w:p>
    <w:p w:rsidR="00774A71" w:rsidRDefault="00774A71" w:rsidP="008C428A">
      <w:pPr>
        <w:jc w:val="both"/>
      </w:pPr>
      <w:r>
        <w:t>- Анемия, не связанная с дефицитом железа (например, гемолитическая анемия);</w:t>
      </w:r>
    </w:p>
    <w:p w:rsidR="00774A71" w:rsidRDefault="00774A71" w:rsidP="008C428A">
      <w:pPr>
        <w:jc w:val="both"/>
      </w:pPr>
      <w:r>
        <w:lastRenderedPageBreak/>
        <w:t>- Наличие признаков перегрузки железом (гемохроматоз, гемосидероз) или нарушение процесса утилизации железа;</w:t>
      </w:r>
    </w:p>
    <w:p w:rsidR="00774A71" w:rsidRDefault="00774A71" w:rsidP="008C428A">
      <w:pPr>
        <w:jc w:val="both"/>
      </w:pPr>
      <w:r>
        <w:t xml:space="preserve">- Гепатит и цирроз печени в стадии декомпенсации; </w:t>
      </w:r>
    </w:p>
    <w:p w:rsidR="00774A71" w:rsidRDefault="00774A71" w:rsidP="008C428A">
      <w:pPr>
        <w:jc w:val="both"/>
      </w:pPr>
      <w:r>
        <w:t>- Бактериемия;</w:t>
      </w:r>
    </w:p>
    <w:p w:rsidR="00774A71" w:rsidRDefault="00774A71" w:rsidP="008C428A">
      <w:pPr>
        <w:jc w:val="both"/>
      </w:pPr>
      <w:r>
        <w:t xml:space="preserve">Детский возраст до 18 лет (ввиду недостаточности данных об эффективности и безопасности). </w:t>
      </w:r>
    </w:p>
    <w:p w:rsidR="00774A71" w:rsidRDefault="00774A71" w:rsidP="008C428A">
      <w:pPr>
        <w:jc w:val="both"/>
        <w:rPr>
          <w:b/>
        </w:rPr>
      </w:pPr>
      <w:r w:rsidRPr="00774A71">
        <w:rPr>
          <w:b/>
        </w:rPr>
        <w:t xml:space="preserve">С ОСТОРОЖНОСТЬЮ </w:t>
      </w:r>
    </w:p>
    <w:p w:rsidR="00774A71" w:rsidRDefault="00774A71" w:rsidP="008C428A">
      <w:pPr>
        <w:jc w:val="both"/>
      </w:pPr>
      <w:r w:rsidRPr="00774A71">
        <w:t>У пациентов, имеющих в анамнезе тяжелые приступы бронхиальной астмы, экзему или другую атопическую аллергию; у пациентов с иммунными или инфекционными заболеваниями</w:t>
      </w:r>
      <w:r>
        <w:t xml:space="preserve"> (</w:t>
      </w:r>
      <w:r w:rsidRPr="00774A71">
        <w:t>в т.</w:t>
      </w:r>
      <w:r>
        <w:t xml:space="preserve"> </w:t>
      </w:r>
      <w:r w:rsidRPr="00774A71">
        <w:t>ч. системной красной вол</w:t>
      </w:r>
      <w:r>
        <w:t xml:space="preserve">чанкой и ревматоидным артритом) и острыми или хроническими инфекционными заболеваниями (см. раздел «Особые указания»). </w:t>
      </w:r>
    </w:p>
    <w:p w:rsidR="00774A71" w:rsidRDefault="00774A71" w:rsidP="008C428A">
      <w:pPr>
        <w:jc w:val="both"/>
      </w:pPr>
      <w:r w:rsidRPr="00774A71">
        <w:rPr>
          <w:b/>
        </w:rPr>
        <w:t>ПРИМ</w:t>
      </w:r>
      <w:r>
        <w:rPr>
          <w:b/>
        </w:rPr>
        <w:t>ЕНЕНИЕ ПРИ БЕРЕМЕННОСТИ И</w:t>
      </w:r>
      <w:r w:rsidRPr="00774A71">
        <w:rPr>
          <w:b/>
        </w:rPr>
        <w:t xml:space="preserve"> В ПЕРИОД ГРУДНОГО ВСКАРМЛИВАНИЯ</w:t>
      </w:r>
      <w:r w:rsidRPr="00774A71">
        <w:t xml:space="preserve"> </w:t>
      </w:r>
    </w:p>
    <w:p w:rsidR="00774A71" w:rsidRDefault="00774A71" w:rsidP="008C428A">
      <w:pPr>
        <w:jc w:val="both"/>
      </w:pPr>
      <w:r>
        <w:t>Контролируемых клинических исследований по изучению пр</w:t>
      </w:r>
      <w:r w:rsidR="0012784D">
        <w:t xml:space="preserve">именения </w:t>
      </w:r>
      <w:r>
        <w:t>препарата Монофер у беременных женщин не проводилось. Необходимо тщател</w:t>
      </w:r>
      <w:r w:rsidR="00370573">
        <w:t>ьно оценить соотношение польза/</w:t>
      </w:r>
      <w:r>
        <w:t xml:space="preserve">риск для решения вопроса о применении препарата Монофер при беременности. Препарат Монофер можно назначить при беременности только в клинически оправданных случаях (см. раздел «Особые указания»). </w:t>
      </w:r>
    </w:p>
    <w:p w:rsidR="00774A71" w:rsidRDefault="00774A71" w:rsidP="008C428A">
      <w:pPr>
        <w:jc w:val="both"/>
      </w:pPr>
      <w:r>
        <w:t xml:space="preserve">В </w:t>
      </w:r>
      <w:r>
        <w:rPr>
          <w:lang w:val="en-US"/>
        </w:rPr>
        <w:t>I</w:t>
      </w:r>
      <w:r>
        <w:t xml:space="preserve"> триместре беременности для лечения железодефицитной анемии применяют, как правило, пероральные препараты железа. Если предполагаемая польза для матери превышает возможный риск для плода, лечение можно </w:t>
      </w:r>
      <w:r w:rsidR="0012784D">
        <w:t xml:space="preserve">проводить только во </w:t>
      </w:r>
      <w:r w:rsidR="0012784D">
        <w:rPr>
          <w:lang w:val="en-US"/>
        </w:rPr>
        <w:t>II</w:t>
      </w:r>
      <w:r w:rsidR="0012784D">
        <w:t xml:space="preserve"> и</w:t>
      </w:r>
      <w:r w:rsidR="0012784D" w:rsidRPr="0012784D">
        <w:t xml:space="preserve"> </w:t>
      </w:r>
      <w:r w:rsidR="0012784D">
        <w:rPr>
          <w:lang w:val="en-US"/>
        </w:rPr>
        <w:t>III</w:t>
      </w:r>
      <w:r w:rsidR="0012784D">
        <w:t xml:space="preserve"> триместрах беременности. </w:t>
      </w:r>
    </w:p>
    <w:p w:rsidR="0012784D" w:rsidRDefault="0012784D" w:rsidP="008C428A">
      <w:pPr>
        <w:jc w:val="both"/>
      </w:pPr>
      <w:r>
        <w:t xml:space="preserve">Выделение препарата Монофер с грудным молоком не установлено. </w:t>
      </w:r>
    </w:p>
    <w:p w:rsidR="0012784D" w:rsidRDefault="0012784D" w:rsidP="008C428A">
      <w:pPr>
        <w:jc w:val="both"/>
        <w:rPr>
          <w:b/>
        </w:rPr>
      </w:pPr>
      <w:r w:rsidRPr="0012784D">
        <w:rPr>
          <w:b/>
        </w:rPr>
        <w:t xml:space="preserve">СПОСОБ ПРИМЕНЕНИЯ И ДОЗЫ </w:t>
      </w:r>
    </w:p>
    <w:p w:rsidR="0012784D" w:rsidRDefault="0012784D" w:rsidP="008C428A">
      <w:pPr>
        <w:jc w:val="both"/>
        <w:rPr>
          <w:b/>
          <w:i/>
        </w:rPr>
      </w:pPr>
      <w:r w:rsidRPr="0012784D">
        <w:rPr>
          <w:b/>
          <w:i/>
        </w:rPr>
        <w:t xml:space="preserve">Внутривенно. </w:t>
      </w:r>
    </w:p>
    <w:p w:rsidR="00C24496" w:rsidRDefault="0012784D" w:rsidP="008C428A">
      <w:pPr>
        <w:jc w:val="both"/>
      </w:pPr>
      <w:r>
        <w:t>Применение препарата Монофер возможно только при участии медицинского персонала, способного выявлять анафилактические реакции и оказывать необходимую помощь, при условии доступности оказания противошоковой терапии. Необходимо тщательно следить за развитием признаков и симптомов реакций гиперчувствительности во время и после каждого введения препарата Монофер. Пациент должен находиться под пристальным наблюдением медицинского персонала для своевременного выявления нежелательных явлений в течение 30 минут после каждого введения препарата Монофер (см. раздел «Особые указания»). Каждая процедура внутривенного введения препарата железа связана с ри</w:t>
      </w:r>
      <w:r w:rsidR="00C24496">
        <w:t>с</w:t>
      </w:r>
      <w:r>
        <w:t>ком развития реакции повышенной чувствительности. Поэтому с целью снижения этого риска необходимо свести к минимуму</w:t>
      </w:r>
      <w:r w:rsidR="00C24496">
        <w:t xml:space="preserve"> внутривенное введение препарата. </w:t>
      </w:r>
    </w:p>
    <w:p w:rsidR="0012784D" w:rsidRDefault="00C24496" w:rsidP="008C428A">
      <w:pPr>
        <w:jc w:val="both"/>
        <w:rPr>
          <w:b/>
          <w:i/>
        </w:rPr>
      </w:pPr>
      <w:r w:rsidRPr="00C24496">
        <w:rPr>
          <w:b/>
          <w:i/>
        </w:rPr>
        <w:t>Заместительная терапия у пациентов с дефицитом железа</w:t>
      </w:r>
      <w:r w:rsidR="0012784D" w:rsidRPr="00C24496">
        <w:rPr>
          <w:b/>
          <w:i/>
        </w:rPr>
        <w:t xml:space="preserve">  </w:t>
      </w:r>
    </w:p>
    <w:p w:rsidR="00C24496" w:rsidRDefault="00C24496" w:rsidP="008C428A">
      <w:pPr>
        <w:jc w:val="both"/>
      </w:pPr>
      <w:r>
        <w:t>Доза препарата Монофер выражается в миллиграммах (мг) элементарного железа. Доза препарата Монофер и схема его применения подбираются для каждого пациента индивидуально, с учетом определения общего дефицита железа. Оптимальная целевая концентрация гемоглобина может отличаться</w:t>
      </w:r>
      <w:r w:rsidR="00C44006">
        <w:t xml:space="preserve"> в различных группах пациентов </w:t>
      </w:r>
      <w:r>
        <w:t xml:space="preserve">и у отдельных пациентов. </w:t>
      </w:r>
      <w:r w:rsidR="003B4831">
        <w:t>Н</w:t>
      </w:r>
      <w:r w:rsidR="00C44006">
        <w:t>еобходимо следовать официально утвержденным рекомендациям. Признаки железодефицитной</w:t>
      </w:r>
      <w:r w:rsidR="003B4831">
        <w:t xml:space="preserve"> анемии</w:t>
      </w:r>
      <w:r w:rsidR="00C44006">
        <w:t xml:space="preserve"> не проявляются до тех пор, пока не будут исчерпаны практически все запасы </w:t>
      </w:r>
      <w:r w:rsidR="003B4831">
        <w:t>железа в депо. Терапия препарато</w:t>
      </w:r>
      <w:r w:rsidR="00C44006">
        <w:t>м железа должна способствовать как повышению гемоглобина, так и восполнению запасов железа в депо. После того, как общий дефицит железа скорректирован, пациентам может потребоваться продол</w:t>
      </w:r>
      <w:r w:rsidR="0019178E">
        <w:t xml:space="preserve">жение терапии препаратом Монофер </w:t>
      </w:r>
      <w:r w:rsidR="0019178E">
        <w:lastRenderedPageBreak/>
        <w:t>для поддержания необходимого гемоглобина (</w:t>
      </w:r>
      <w:proofErr w:type="spellStart"/>
      <w:r w:rsidR="0019178E">
        <w:rPr>
          <w:lang w:val="en-US"/>
        </w:rPr>
        <w:t>Hb</w:t>
      </w:r>
      <w:proofErr w:type="spellEnd"/>
      <w:r w:rsidR="0019178E" w:rsidRPr="0019178E">
        <w:t>)</w:t>
      </w:r>
      <w:r w:rsidR="0019178E">
        <w:t xml:space="preserve"> в плазме крови, а также и других показателей, свидетельствующих о содержании железа. Общая доля железа вычисляется по формуле Ганзони (</w:t>
      </w:r>
      <w:proofErr w:type="spellStart"/>
      <w:r w:rsidR="0019178E">
        <w:rPr>
          <w:lang w:val="en-US"/>
        </w:rPr>
        <w:t>Ganzoni</w:t>
      </w:r>
      <w:proofErr w:type="spellEnd"/>
      <w:r w:rsidR="0019178E" w:rsidRPr="0019178E">
        <w:t>)</w:t>
      </w:r>
      <w:r w:rsidR="0019178E">
        <w:t xml:space="preserve"> (1) или с помощью приведенной ниже таблицы (2). </w:t>
      </w:r>
    </w:p>
    <w:p w:rsidR="0019178E" w:rsidRDefault="0019178E" w:rsidP="008C428A">
      <w:pPr>
        <w:jc w:val="both"/>
      </w:pPr>
      <w:r>
        <w:t xml:space="preserve">Рекомендуется использовать формулу Ганзони в случаях необходимости индивидуального подбора дозы, например, у пациентов с нервной анорексией, кахексией, ожирением, при беременности или анемии, вызванной кровотечениями. </w:t>
      </w:r>
    </w:p>
    <w:p w:rsidR="00D97D38" w:rsidRDefault="0019178E" w:rsidP="008C428A">
      <w:pPr>
        <w:jc w:val="both"/>
      </w:pPr>
      <w:r>
        <w:t xml:space="preserve">1. Общий дефицит железа (мг) = масса тела </w:t>
      </w:r>
      <w:r w:rsidR="00DF57CF">
        <w:t xml:space="preserve">(М) (кг) х (целевой уровень </w:t>
      </w:r>
      <w:proofErr w:type="spellStart"/>
      <w:r w:rsidR="00D97D38">
        <w:rPr>
          <w:lang w:val="en-US"/>
        </w:rPr>
        <w:t>Hb</w:t>
      </w:r>
      <w:proofErr w:type="spellEnd"/>
      <w:r w:rsidR="00D97D38" w:rsidRPr="00D97D38">
        <w:t xml:space="preserve"> – </w:t>
      </w:r>
      <w:proofErr w:type="spellStart"/>
      <w:r w:rsidR="00D97D38">
        <w:rPr>
          <w:lang w:val="en-US"/>
        </w:rPr>
        <w:t>Hb</w:t>
      </w:r>
      <w:proofErr w:type="spellEnd"/>
      <w:r w:rsidR="00D97D38" w:rsidRPr="00D97D38">
        <w:t xml:space="preserve"> </w:t>
      </w:r>
      <w:r w:rsidR="00D97D38">
        <w:t xml:space="preserve">пациента) </w:t>
      </w:r>
    </w:p>
    <w:p w:rsidR="00DF57CF" w:rsidRDefault="00D97D38" w:rsidP="008C428A">
      <w:pPr>
        <w:jc w:val="both"/>
      </w:pPr>
      <w:r>
        <w:t xml:space="preserve">(г/л) х 0,24 + депонированное железо (мг).  </w:t>
      </w:r>
    </w:p>
    <w:p w:rsidR="00D97D38" w:rsidRDefault="00D97D38" w:rsidP="008C428A">
      <w:pPr>
        <w:jc w:val="both"/>
      </w:pPr>
      <w:r>
        <w:t>(А) рекомендуется использовать идеальную массу тела пациента или массу тела до беременности. Идеальную массу тела можно рассчитать несколькими различными способами: в частности, с помощью ИМТ 25: идеальная масса тела = 25* (рост в м)</w:t>
      </w:r>
      <w:r w:rsidR="00FE7571">
        <w:rPr>
          <w:vertAlign w:val="superscript"/>
        </w:rPr>
        <w:t>2</w:t>
      </w:r>
      <w:r>
        <w:t xml:space="preserve"> </w:t>
      </w:r>
    </w:p>
    <w:p w:rsidR="00D97D38" w:rsidRDefault="00D97D38" w:rsidP="008C428A">
      <w:pPr>
        <w:jc w:val="both"/>
      </w:pPr>
      <w:r>
        <w:t>(В) Коэффициент 0,24 = 0,0034 х 0,07 х 1000</w:t>
      </w:r>
      <w:bookmarkStart w:id="0" w:name="_GoBack"/>
      <w:bookmarkEnd w:id="0"/>
    </w:p>
    <w:p w:rsidR="00D97D38" w:rsidRDefault="00D97D38" w:rsidP="008C428A">
      <w:pPr>
        <w:jc w:val="both"/>
      </w:pPr>
      <w:r>
        <w:t>0,0034 – содержание железа в гемоглобине (0,34%)</w:t>
      </w:r>
    </w:p>
    <w:p w:rsidR="00D97D38" w:rsidRDefault="00D97D38" w:rsidP="008C428A">
      <w:pPr>
        <w:jc w:val="both"/>
      </w:pPr>
      <w:r>
        <w:t xml:space="preserve">0,07 – объем крови 70 мл/кг массы тела (около 7% массы тела) </w:t>
      </w:r>
    </w:p>
    <w:p w:rsidR="00D97D38" w:rsidRDefault="00D97D38" w:rsidP="008C428A">
      <w:pPr>
        <w:jc w:val="both"/>
      </w:pPr>
      <w:r>
        <w:t xml:space="preserve">1000 – коэффициент пересчета (1 г = 1000 мг) </w:t>
      </w:r>
    </w:p>
    <w:p w:rsidR="00D97D38" w:rsidRDefault="00D97D38" w:rsidP="008C428A">
      <w:pPr>
        <w:jc w:val="both"/>
      </w:pPr>
      <w:r>
        <w:t xml:space="preserve">(С) для лиц с массой тела выше 35 кг, депо железа - около 500 мг или выше. Депо железа 500 мг является </w:t>
      </w:r>
      <w:r w:rsidR="001C4B5E">
        <w:t xml:space="preserve">нижним пределом нормы для женщин маленького роста. В некоторых руководствах предлагается использовать показатели 10 – 15 мг железа/ кг массы тела. </w:t>
      </w:r>
    </w:p>
    <w:p w:rsidR="001C4B5E" w:rsidRDefault="001C4B5E" w:rsidP="008C428A">
      <w:pPr>
        <w:jc w:val="both"/>
      </w:pPr>
      <w:r>
        <w:t>(</w:t>
      </w:r>
      <w:r>
        <w:rPr>
          <w:lang w:val="en-US"/>
        </w:rPr>
        <w:t>D</w:t>
      </w:r>
      <w:r w:rsidRPr="001C4B5E">
        <w:t>)</w:t>
      </w:r>
      <w:r>
        <w:t xml:space="preserve"> Целевое значение </w:t>
      </w:r>
      <w:proofErr w:type="spellStart"/>
      <w:r>
        <w:rPr>
          <w:lang w:val="en-US"/>
        </w:rPr>
        <w:t>Hb</w:t>
      </w:r>
      <w:proofErr w:type="spellEnd"/>
      <w:r>
        <w:t xml:space="preserve"> по формуле Ганзони составляет 150 г/л. В особых случаях, например, у беременных целевое значение </w:t>
      </w:r>
      <w:proofErr w:type="spellStart"/>
      <w:r>
        <w:rPr>
          <w:lang w:val="en-US"/>
        </w:rPr>
        <w:t>Hb</w:t>
      </w:r>
      <w:proofErr w:type="spellEnd"/>
      <w:r w:rsidRPr="001C4B5E">
        <w:t xml:space="preserve"> </w:t>
      </w:r>
      <w:r>
        <w:t xml:space="preserve">может быть ниже. </w:t>
      </w:r>
    </w:p>
    <w:p w:rsidR="001C4B5E" w:rsidRDefault="001C4B5E" w:rsidP="008C428A">
      <w:pPr>
        <w:jc w:val="both"/>
      </w:pPr>
      <w:r>
        <w:t xml:space="preserve">2. Упрощенная таблица: </w:t>
      </w:r>
    </w:p>
    <w:p w:rsidR="00F66282" w:rsidRDefault="00F66282" w:rsidP="008C428A">
      <w:pPr>
        <w:jc w:val="both"/>
      </w:pPr>
      <w:r>
        <w:t xml:space="preserve"> </w:t>
      </w:r>
      <w:r w:rsidR="001B62E0">
        <w:t>Дефицит железа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693"/>
        <w:gridCol w:w="2977"/>
      </w:tblGrid>
      <w:tr w:rsidR="001B62E0" w:rsidTr="001B62E0">
        <w:tc>
          <w:tcPr>
            <w:tcW w:w="1276" w:type="dxa"/>
          </w:tcPr>
          <w:p w:rsidR="001B62E0" w:rsidRPr="001B62E0" w:rsidRDefault="001B62E0" w:rsidP="008C428A">
            <w:pPr>
              <w:jc w:val="both"/>
            </w:pPr>
            <w:proofErr w:type="spellStart"/>
            <w:r>
              <w:rPr>
                <w:lang w:val="en-US"/>
              </w:rPr>
              <w:t>Hb</w:t>
            </w:r>
            <w:proofErr w:type="spellEnd"/>
            <w:r>
              <w:rPr>
                <w:lang w:val="en-US"/>
              </w:rPr>
              <w:t xml:space="preserve"> (</w:t>
            </w:r>
            <w:r>
              <w:t>г/л)</w:t>
            </w:r>
          </w:p>
        </w:tc>
        <w:tc>
          <w:tcPr>
            <w:tcW w:w="2693" w:type="dxa"/>
          </w:tcPr>
          <w:p w:rsidR="001B62E0" w:rsidRDefault="001B62E0" w:rsidP="008C428A">
            <w:pPr>
              <w:jc w:val="both"/>
            </w:pPr>
            <w:r>
              <w:t>Пациенты с массой</w:t>
            </w:r>
          </w:p>
          <w:p w:rsidR="001B62E0" w:rsidRDefault="003B4831" w:rsidP="008C428A">
            <w:pPr>
              <w:jc w:val="both"/>
            </w:pPr>
            <w:r>
              <w:t>т</w:t>
            </w:r>
            <w:r w:rsidR="001B62E0">
              <w:t xml:space="preserve">ела 50 кг </w:t>
            </w:r>
            <w:r w:rsidR="001B62E0">
              <w:rPr>
                <w:rFonts w:ascii="Arial" w:hAnsi="Arial" w:cs="Arial"/>
              </w:rPr>
              <w:t>˂</w:t>
            </w:r>
            <w:r w:rsidR="001B62E0">
              <w:t xml:space="preserve"> 70 кг</w:t>
            </w:r>
          </w:p>
        </w:tc>
        <w:tc>
          <w:tcPr>
            <w:tcW w:w="2977" w:type="dxa"/>
          </w:tcPr>
          <w:p w:rsidR="001B62E0" w:rsidRDefault="001B62E0" w:rsidP="008C428A">
            <w:pPr>
              <w:jc w:val="both"/>
            </w:pPr>
            <w:r>
              <w:t>Пациенты с массой</w:t>
            </w:r>
          </w:p>
          <w:p w:rsidR="001B62E0" w:rsidRDefault="001B62E0" w:rsidP="008C428A">
            <w:pPr>
              <w:jc w:val="both"/>
            </w:pPr>
            <w:r>
              <w:t>тела ≥ 70 кг</w:t>
            </w:r>
          </w:p>
        </w:tc>
      </w:tr>
      <w:tr w:rsidR="001B62E0" w:rsidTr="001B62E0">
        <w:tc>
          <w:tcPr>
            <w:tcW w:w="1276" w:type="dxa"/>
          </w:tcPr>
          <w:p w:rsidR="001B62E0" w:rsidRDefault="001B62E0" w:rsidP="008C428A">
            <w:pPr>
              <w:jc w:val="both"/>
            </w:pPr>
            <w:r>
              <w:t>≥ 100</w:t>
            </w:r>
          </w:p>
        </w:tc>
        <w:tc>
          <w:tcPr>
            <w:tcW w:w="2693" w:type="dxa"/>
          </w:tcPr>
          <w:p w:rsidR="001B62E0" w:rsidRDefault="001B62E0" w:rsidP="008C428A">
            <w:pPr>
              <w:jc w:val="both"/>
            </w:pPr>
            <w:r>
              <w:t>1000 мг</w:t>
            </w:r>
          </w:p>
        </w:tc>
        <w:tc>
          <w:tcPr>
            <w:tcW w:w="2977" w:type="dxa"/>
          </w:tcPr>
          <w:p w:rsidR="001B62E0" w:rsidRDefault="001B62E0" w:rsidP="008C428A">
            <w:pPr>
              <w:jc w:val="both"/>
            </w:pPr>
            <w:r>
              <w:t>1500 мг</w:t>
            </w:r>
          </w:p>
        </w:tc>
      </w:tr>
      <w:tr w:rsidR="001B62E0" w:rsidTr="001B62E0">
        <w:tc>
          <w:tcPr>
            <w:tcW w:w="1276" w:type="dxa"/>
          </w:tcPr>
          <w:p w:rsidR="001B62E0" w:rsidRDefault="001B62E0" w:rsidP="008C428A">
            <w:pPr>
              <w:jc w:val="both"/>
            </w:pPr>
            <w:r>
              <w:rPr>
                <w:rFonts w:ascii="Arial" w:hAnsi="Arial" w:cs="Arial"/>
              </w:rPr>
              <w:t>˂</w:t>
            </w:r>
            <w:r>
              <w:t xml:space="preserve"> 100</w:t>
            </w:r>
          </w:p>
        </w:tc>
        <w:tc>
          <w:tcPr>
            <w:tcW w:w="2693" w:type="dxa"/>
          </w:tcPr>
          <w:p w:rsidR="001B62E0" w:rsidRDefault="001B62E0" w:rsidP="008C428A">
            <w:pPr>
              <w:jc w:val="both"/>
            </w:pPr>
            <w:r>
              <w:t>1500 мг</w:t>
            </w:r>
          </w:p>
        </w:tc>
        <w:tc>
          <w:tcPr>
            <w:tcW w:w="2977" w:type="dxa"/>
          </w:tcPr>
          <w:p w:rsidR="001B62E0" w:rsidRDefault="001B62E0" w:rsidP="008C428A">
            <w:pPr>
              <w:jc w:val="both"/>
            </w:pPr>
            <w:r>
              <w:t>2000 мг</w:t>
            </w:r>
          </w:p>
        </w:tc>
      </w:tr>
    </w:tbl>
    <w:p w:rsidR="00F66282" w:rsidRDefault="00F66282" w:rsidP="008C428A">
      <w:pPr>
        <w:jc w:val="both"/>
      </w:pPr>
    </w:p>
    <w:p w:rsidR="00F66282" w:rsidRDefault="00F66282" w:rsidP="008C428A">
      <w:pPr>
        <w:jc w:val="both"/>
        <w:rPr>
          <w:b/>
          <w:i/>
        </w:rPr>
      </w:pPr>
      <w:r w:rsidRPr="00F66282">
        <w:rPr>
          <w:b/>
          <w:i/>
        </w:rPr>
        <w:t>Восполнение железа при кровопотере</w:t>
      </w:r>
    </w:p>
    <w:p w:rsidR="00F66282" w:rsidRDefault="00F66282" w:rsidP="008C428A">
      <w:pPr>
        <w:jc w:val="both"/>
      </w:pPr>
      <w:r>
        <w:t xml:space="preserve">Восполнение железодефицита после кровопотери с помощью препарата железа должно быть эквивалентно потерям железа. </w:t>
      </w:r>
    </w:p>
    <w:p w:rsidR="00F66282" w:rsidRDefault="00F66282" w:rsidP="008C428A">
      <w:pPr>
        <w:pStyle w:val="a3"/>
        <w:numPr>
          <w:ilvl w:val="0"/>
          <w:numId w:val="1"/>
        </w:numPr>
        <w:jc w:val="both"/>
      </w:pPr>
      <w:r w:rsidRPr="00F66282">
        <w:rPr>
          <w:i/>
        </w:rPr>
        <w:t>Если концентрация гемоглобина (</w:t>
      </w:r>
      <w:proofErr w:type="spellStart"/>
      <w:r w:rsidRPr="00F66282">
        <w:rPr>
          <w:i/>
          <w:lang w:val="en-US"/>
        </w:rPr>
        <w:t>Hb</w:t>
      </w:r>
      <w:proofErr w:type="spellEnd"/>
      <w:r w:rsidRPr="00F66282">
        <w:rPr>
          <w:i/>
        </w:rPr>
        <w:t>) снижена</w:t>
      </w:r>
      <w:r>
        <w:t xml:space="preserve">: используйте предыдущую формулу, считая, что нет необходимости восстанавливать депо железа: </w:t>
      </w:r>
    </w:p>
    <w:p w:rsidR="00F66282" w:rsidRDefault="00F66282" w:rsidP="008C428A">
      <w:pPr>
        <w:pStyle w:val="a3"/>
        <w:jc w:val="both"/>
      </w:pPr>
      <w:r>
        <w:t>Суммарная доза железа (мг)=</w:t>
      </w:r>
      <w:r w:rsidR="00BB312F">
        <w:t xml:space="preserve"> </w:t>
      </w:r>
      <w:r>
        <w:t>масса тела (кг)</w:t>
      </w:r>
      <w:r w:rsidR="00BB312F">
        <w:t xml:space="preserve"> </w:t>
      </w:r>
      <w:r>
        <w:t>х</w:t>
      </w:r>
      <w:r w:rsidR="00BB312F">
        <w:t xml:space="preserve"> </w:t>
      </w:r>
      <w:r>
        <w:t xml:space="preserve">(нормальная концентрация </w:t>
      </w:r>
      <w:proofErr w:type="spellStart"/>
      <w:r>
        <w:rPr>
          <w:lang w:val="en-US"/>
        </w:rPr>
        <w:t>Hb</w:t>
      </w:r>
      <w:proofErr w:type="spellEnd"/>
      <w:r>
        <w:t xml:space="preserve"> – текущая концентрация </w:t>
      </w:r>
      <w:proofErr w:type="spellStart"/>
      <w:r>
        <w:rPr>
          <w:lang w:val="en-US"/>
        </w:rPr>
        <w:t>Hb</w:t>
      </w:r>
      <w:proofErr w:type="spellEnd"/>
      <w:r w:rsidR="003B4831">
        <w:t xml:space="preserve">) (г/л) х </w:t>
      </w:r>
      <w:r>
        <w:t>0,24</w:t>
      </w:r>
    </w:p>
    <w:p w:rsidR="00F66282" w:rsidRDefault="00F66282" w:rsidP="008C428A">
      <w:pPr>
        <w:pStyle w:val="a3"/>
        <w:numPr>
          <w:ilvl w:val="0"/>
          <w:numId w:val="1"/>
        </w:numPr>
        <w:jc w:val="both"/>
      </w:pPr>
      <w:r w:rsidRPr="00F66282">
        <w:rPr>
          <w:i/>
        </w:rPr>
        <w:t>Если объем кровопотери известен</w:t>
      </w:r>
      <w:r>
        <w:t xml:space="preserve">: применение 200 мг препарата Монофер повышает гемоглобин эквивалентно 1 </w:t>
      </w:r>
      <w:proofErr w:type="spellStart"/>
      <w:r>
        <w:t>Ед</w:t>
      </w:r>
      <w:proofErr w:type="spellEnd"/>
      <w:r>
        <w:t xml:space="preserve"> кровопотери: </w:t>
      </w:r>
    </w:p>
    <w:p w:rsidR="00F40700" w:rsidRDefault="00F66282" w:rsidP="008C428A">
      <w:pPr>
        <w:pStyle w:val="a3"/>
        <w:jc w:val="both"/>
      </w:pPr>
      <w:r w:rsidRPr="00F66282">
        <w:t>Содержание железа, которое должно быт восполнено (мг)</w:t>
      </w:r>
      <w:r w:rsidR="003B4831">
        <w:t xml:space="preserve"> </w:t>
      </w:r>
      <w:r w:rsidRPr="00F66282">
        <w:t>= количество единиц потерянной крови х 200</w:t>
      </w:r>
    </w:p>
    <w:p w:rsidR="00F40700" w:rsidRPr="001B62E0" w:rsidRDefault="00F40700" w:rsidP="008C428A">
      <w:pPr>
        <w:spacing w:after="0"/>
        <w:jc w:val="both"/>
        <w:rPr>
          <w:i/>
        </w:rPr>
      </w:pPr>
      <w:r w:rsidRPr="001B62E0">
        <w:rPr>
          <w:i/>
        </w:rPr>
        <w:t>Дети и подростки</w:t>
      </w:r>
    </w:p>
    <w:p w:rsidR="001B62E0" w:rsidRDefault="00F40700" w:rsidP="008C428A">
      <w:pPr>
        <w:spacing w:after="0"/>
        <w:jc w:val="both"/>
      </w:pPr>
      <w:r>
        <w:t xml:space="preserve">Монофер не следует применять у детей и подростков в </w:t>
      </w:r>
      <w:r w:rsidR="008C428A">
        <w:t>в</w:t>
      </w:r>
      <w:r>
        <w:t>озрасте до 18 лет, так как имеется недостаточно данных об эффективности и безопасности препарата.</w:t>
      </w:r>
    </w:p>
    <w:p w:rsidR="008C428A" w:rsidRDefault="008C428A" w:rsidP="008C428A">
      <w:pPr>
        <w:spacing w:after="0"/>
        <w:jc w:val="both"/>
      </w:pPr>
    </w:p>
    <w:p w:rsidR="00F40700" w:rsidRPr="001B62E0" w:rsidRDefault="00F40700" w:rsidP="008C428A">
      <w:pPr>
        <w:spacing w:after="0"/>
        <w:jc w:val="both"/>
        <w:rPr>
          <w:i/>
        </w:rPr>
      </w:pPr>
      <w:r w:rsidRPr="001B62E0">
        <w:rPr>
          <w:i/>
        </w:rPr>
        <w:t>Взрослые, включая пожилых пациентов</w:t>
      </w:r>
    </w:p>
    <w:p w:rsidR="00F40700" w:rsidRDefault="00F40700" w:rsidP="008C428A">
      <w:pPr>
        <w:spacing w:after="0"/>
        <w:jc w:val="both"/>
      </w:pPr>
      <w:r w:rsidRPr="00F40700">
        <w:t>Моно</w:t>
      </w:r>
      <w:r w:rsidR="008C428A">
        <w:t>фер может вводиться внутривенно</w:t>
      </w:r>
      <w:r w:rsidRPr="00F40700">
        <w:t xml:space="preserve"> - струйно или капельно, а также струйно через диализную систему. </w:t>
      </w:r>
      <w:r>
        <w:t>Монофер не следует применять одновременно с препаратами железа для приема внутрь, т.к. всасывание железа при приеме внутрь может быть снижено (см. раздел «Взаимодействие с другими лекарственными средствами»).</w:t>
      </w:r>
    </w:p>
    <w:p w:rsidR="008C428A" w:rsidRPr="008C428A" w:rsidRDefault="008C428A" w:rsidP="008C428A">
      <w:pPr>
        <w:spacing w:after="0"/>
        <w:jc w:val="both"/>
      </w:pPr>
    </w:p>
    <w:p w:rsidR="00F40700" w:rsidRPr="001B62E0" w:rsidRDefault="00F40700" w:rsidP="008C428A">
      <w:pPr>
        <w:spacing w:after="0"/>
        <w:jc w:val="both"/>
        <w:rPr>
          <w:i/>
        </w:rPr>
      </w:pPr>
      <w:r w:rsidRPr="001B62E0">
        <w:rPr>
          <w:i/>
        </w:rPr>
        <w:t xml:space="preserve">Внутривенное струйное введение </w:t>
      </w:r>
    </w:p>
    <w:p w:rsidR="008C428A" w:rsidRDefault="00F40700" w:rsidP="008C428A">
      <w:pPr>
        <w:spacing w:after="0"/>
        <w:jc w:val="both"/>
      </w:pPr>
      <w:r>
        <w:t xml:space="preserve">Монофер можно вводить в дозе до 500 мг внутривенно струйно до 3 раз в неделю со скоростью до 250 мг железа/мин. Препарат можно вводить неразведенным или разведенным максимально в 20 мл стерильного 0,9% раствора натрия хлорида.  </w:t>
      </w:r>
    </w:p>
    <w:p w:rsidR="00F40700" w:rsidRDefault="00F40700" w:rsidP="008C428A">
      <w:pPr>
        <w:spacing w:after="0"/>
        <w:jc w:val="both"/>
      </w:pPr>
      <w:r>
        <w:t xml:space="preserve"> </w:t>
      </w:r>
    </w:p>
    <w:p w:rsidR="00F40700" w:rsidRPr="001B62E0" w:rsidRDefault="00F40700" w:rsidP="008C428A">
      <w:pPr>
        <w:spacing w:after="0"/>
        <w:jc w:val="both"/>
        <w:rPr>
          <w:i/>
        </w:rPr>
      </w:pPr>
      <w:r w:rsidRPr="001B62E0">
        <w:rPr>
          <w:i/>
        </w:rPr>
        <w:t xml:space="preserve">Внутривенное струйное введение </w:t>
      </w:r>
    </w:p>
    <w:p w:rsidR="00F40700" w:rsidRDefault="00F40700" w:rsidP="008C428A">
      <w:pPr>
        <w:spacing w:after="0"/>
        <w:jc w:val="both"/>
      </w:pPr>
      <w:r>
        <w:t xml:space="preserve">Необходимую дозу препарата Монофер можно вводить полностью в виде однократной внутривенной капельной инфузии (если необходимая доза не превышает 20 мг/кг массы тела) или в виде еженедельных инфузий до достижения полной расчетной дозы препарата. Если полная доза превышает 20 мг/кг массы тела, ее следует распределить на 2 введения </w:t>
      </w:r>
      <w:r w:rsidR="00D677CE">
        <w:t>с инт</w:t>
      </w:r>
      <w:r>
        <w:t>е</w:t>
      </w:r>
      <w:r w:rsidR="00D677CE">
        <w:t>р</w:t>
      </w:r>
      <w:r>
        <w:t xml:space="preserve">валом меду введениями не менее 1 недели. При первом применении </w:t>
      </w:r>
      <w:r w:rsidR="00D677CE">
        <w:t xml:space="preserve">препарата рекомендуется по возможности вводить дозу 20 мг/кг массы тела.  В зависимости от клинической картины следующее введение препарата можно отложить до получения повторных результатов лабораторных тестов. </w:t>
      </w:r>
    </w:p>
    <w:p w:rsidR="00D677CE" w:rsidRPr="001B62E0" w:rsidRDefault="00D677CE" w:rsidP="008C428A">
      <w:pPr>
        <w:spacing w:after="0"/>
        <w:jc w:val="both"/>
        <w:rPr>
          <w:b/>
        </w:rPr>
      </w:pPr>
      <w:r>
        <w:t xml:space="preserve">Препарат в дозах до 1000 мг вводят строго в течение </w:t>
      </w:r>
      <w:r w:rsidRPr="001B62E0">
        <w:rPr>
          <w:b/>
        </w:rPr>
        <w:t>более 15 мин.</w:t>
      </w:r>
    </w:p>
    <w:p w:rsidR="00D677CE" w:rsidRPr="001B62E0" w:rsidRDefault="00D677CE" w:rsidP="008C428A">
      <w:pPr>
        <w:spacing w:after="0"/>
        <w:jc w:val="both"/>
        <w:rPr>
          <w:b/>
        </w:rPr>
      </w:pPr>
      <w:r>
        <w:t xml:space="preserve">Препарат в дозах выше 1000 мг вводят строго в течение </w:t>
      </w:r>
      <w:r w:rsidRPr="001B62E0">
        <w:rPr>
          <w:b/>
        </w:rPr>
        <w:t>более 30 мин.</w:t>
      </w:r>
    </w:p>
    <w:p w:rsidR="00D677CE" w:rsidRDefault="00D677CE" w:rsidP="008C428A">
      <w:pPr>
        <w:spacing w:after="0"/>
        <w:jc w:val="both"/>
      </w:pPr>
      <w:r>
        <w:t>Монофер разводят максимально в 500 мл стерильного 0,9% раствора натрия хлорида.</w:t>
      </w:r>
    </w:p>
    <w:p w:rsidR="008C428A" w:rsidRDefault="008C428A" w:rsidP="008C428A">
      <w:pPr>
        <w:spacing w:after="0"/>
        <w:jc w:val="both"/>
      </w:pPr>
    </w:p>
    <w:p w:rsidR="00D677CE" w:rsidRPr="001B62E0" w:rsidRDefault="00D677CE" w:rsidP="008C428A">
      <w:pPr>
        <w:spacing w:after="0"/>
        <w:jc w:val="both"/>
        <w:rPr>
          <w:i/>
        </w:rPr>
      </w:pPr>
      <w:r w:rsidRPr="001B62E0">
        <w:rPr>
          <w:i/>
        </w:rPr>
        <w:t>Введение через диализную систему</w:t>
      </w:r>
    </w:p>
    <w:p w:rsidR="00D677CE" w:rsidRDefault="00D677CE" w:rsidP="008C428A">
      <w:pPr>
        <w:spacing w:after="0"/>
        <w:jc w:val="both"/>
      </w:pPr>
      <w:r>
        <w:t xml:space="preserve">Монофер можно вводить непосредственно в венозный участок диализной системы, строго соблюдая технику внутривенной инъекции. </w:t>
      </w:r>
    </w:p>
    <w:p w:rsidR="008C428A" w:rsidRDefault="008C428A" w:rsidP="008C428A">
      <w:pPr>
        <w:spacing w:after="0"/>
        <w:jc w:val="both"/>
      </w:pPr>
    </w:p>
    <w:p w:rsidR="00D677CE" w:rsidRPr="001B62E0" w:rsidRDefault="00D677CE" w:rsidP="008C428A">
      <w:pPr>
        <w:spacing w:after="0"/>
        <w:jc w:val="both"/>
        <w:rPr>
          <w:b/>
        </w:rPr>
      </w:pPr>
      <w:r w:rsidRPr="001B62E0">
        <w:rPr>
          <w:b/>
        </w:rPr>
        <w:t>Особые меры предосторожности при применении и утилизации препарата</w:t>
      </w:r>
    </w:p>
    <w:p w:rsidR="00D677CE" w:rsidRDefault="00D677CE" w:rsidP="008C428A">
      <w:pPr>
        <w:spacing w:after="0"/>
        <w:jc w:val="both"/>
      </w:pPr>
      <w:r>
        <w:t xml:space="preserve">Перед применением следует провести визуальный осмотр флаконов/ампул для выявления осадка и повреждений.  Препарат можно применять лишь в том случае, если раствор остается прозрачным и однородным. Препарат Монофер предназначен только для однократного применения. Остатки неиспользованного раствора следует утилизировать в соответствии с местными требованиями. </w:t>
      </w:r>
    </w:p>
    <w:p w:rsidR="00D677CE" w:rsidRDefault="00D677CE" w:rsidP="008C428A">
      <w:pPr>
        <w:spacing w:after="0"/>
        <w:jc w:val="both"/>
      </w:pPr>
      <w:r>
        <w:t xml:space="preserve">Препарат Монофер можно смешивать в одном шприце только со стерильным 0,9% раствором натрия хлорида. Никаких других растворов для внутривенного ведения и терапевтических препаратов добавлять не разрешается. </w:t>
      </w:r>
    </w:p>
    <w:p w:rsidR="00D677CE" w:rsidRDefault="00D677CE" w:rsidP="008C428A">
      <w:pPr>
        <w:spacing w:after="0"/>
        <w:jc w:val="both"/>
      </w:pPr>
      <w:r>
        <w:t xml:space="preserve">Инструкции по разведению раствора см. выше. </w:t>
      </w:r>
    </w:p>
    <w:p w:rsidR="00D677CE" w:rsidRDefault="00D677CE" w:rsidP="008C428A">
      <w:pPr>
        <w:spacing w:after="0"/>
        <w:jc w:val="both"/>
      </w:pPr>
      <w:r>
        <w:t xml:space="preserve">Перед внутривенным введением восстановленного раствора необходимо произвести его визуальный осмотр. </w:t>
      </w:r>
    </w:p>
    <w:p w:rsidR="00D677CE" w:rsidRDefault="00D677CE" w:rsidP="008C428A">
      <w:pPr>
        <w:spacing w:after="0"/>
        <w:jc w:val="both"/>
      </w:pPr>
      <w:r>
        <w:t xml:space="preserve">Допустимо вводить только прозрачный раствор без осадка. </w:t>
      </w:r>
    </w:p>
    <w:p w:rsidR="008C428A" w:rsidRDefault="008C428A" w:rsidP="008C428A">
      <w:pPr>
        <w:spacing w:after="0"/>
        <w:jc w:val="both"/>
      </w:pPr>
    </w:p>
    <w:p w:rsidR="00D677CE" w:rsidRPr="001B62E0" w:rsidRDefault="00D677CE" w:rsidP="008C428A">
      <w:pPr>
        <w:spacing w:after="0"/>
        <w:jc w:val="both"/>
        <w:rPr>
          <w:b/>
        </w:rPr>
      </w:pPr>
      <w:r w:rsidRPr="001B62E0">
        <w:rPr>
          <w:b/>
        </w:rPr>
        <w:t xml:space="preserve">ПОБОЧНОЕ ДЕЙСТВИЕ </w:t>
      </w:r>
    </w:p>
    <w:p w:rsidR="00D677CE" w:rsidRDefault="00D677CE" w:rsidP="008C428A">
      <w:pPr>
        <w:spacing w:after="0"/>
        <w:jc w:val="both"/>
      </w:pPr>
      <w:r w:rsidRPr="009762B6">
        <w:t xml:space="preserve">Информация о нежелательных эффектах препарата Монофер ограничена. Поэтому приведенная ниже информация о побочных </w:t>
      </w:r>
      <w:r w:rsidR="009762B6" w:rsidRPr="009762B6">
        <w:t>эффектах ос</w:t>
      </w:r>
      <w:r w:rsidRPr="009762B6">
        <w:t>нована, главным обр</w:t>
      </w:r>
      <w:r w:rsidR="009762B6" w:rsidRPr="009762B6">
        <w:t xml:space="preserve">азом, на данных по безопасности, полученных при применении других парентеральных препаратов железа. </w:t>
      </w:r>
    </w:p>
    <w:p w:rsidR="009762B6" w:rsidRDefault="009762B6" w:rsidP="008C428A">
      <w:pPr>
        <w:spacing w:after="0"/>
        <w:jc w:val="both"/>
      </w:pPr>
      <w:r>
        <w:t xml:space="preserve">Предположительно побочные эффекты наблюдаются более чему 1% пациентов. На фоне применения парентеральных железосодержащих препаратов нечасто могут наблюдаться острые, тяжелые анафилактоидные реакции. Такие реакции обычно развиваются в течение первых </w:t>
      </w:r>
      <w:r>
        <w:lastRenderedPageBreak/>
        <w:t xml:space="preserve">нескольких минут введения препарата и, как правило, характеризуются внезапным началом затруднения дыхания и/или сердечно-сосудистой недостаточности; были сообщения о летальных исходах. Другие менее тяжелые проявления реакции гиперчувствительности немедленного типа также наблюдаются нечасто и включают крапивницу, кожную сыпь, кожный зуд, тошноту и озноб. Введение препарата должно быть немедленно остановлено при наблюдении признаков анафилактоидной реакции. </w:t>
      </w:r>
    </w:p>
    <w:p w:rsidR="009762B6" w:rsidRDefault="009762B6" w:rsidP="008C428A">
      <w:pPr>
        <w:spacing w:after="0"/>
        <w:jc w:val="both"/>
      </w:pPr>
      <w:r>
        <w:t>При применении парентеральных препаратов железа могут развиваться и отсроченные побочные эффекты, которые могут быть серьезными. Они характери</w:t>
      </w:r>
      <w:r w:rsidR="00CA38C6">
        <w:t xml:space="preserve">зуются артралгиями, </w:t>
      </w:r>
      <w:proofErr w:type="spellStart"/>
      <w:r w:rsidR="00CA38C6">
        <w:t>миалгиями</w:t>
      </w:r>
      <w:proofErr w:type="spellEnd"/>
      <w:r w:rsidR="00CA38C6">
        <w:t>, а</w:t>
      </w:r>
      <w:r>
        <w:t xml:space="preserve"> иногда и лихорадкой. Начало развития таких реакций колеблется от нескольких часов до четырех дней после введения препарата. Симптомы обычно длятся от двух до четырех дней и проходят самостоятельно или после применения анальгетиков. Кроме того, может развиваться обострение болей в суставах при ревматоидном артрите; местные реакции могут также проявляться болью или воспалением в месте или вокруг места инъекции, местными флебитами.</w:t>
      </w:r>
    </w:p>
    <w:p w:rsidR="008C428A" w:rsidRDefault="009762B6" w:rsidP="008C428A">
      <w:pPr>
        <w:spacing w:after="0"/>
        <w:jc w:val="both"/>
        <w:rPr>
          <w:rFonts w:cstheme="minorHAnsi"/>
        </w:rPr>
      </w:pPr>
      <w:r>
        <w:t>Частота побочных эффектов, выявленных в ходе исследования, оценивалась следующим образом: очень часто (</w:t>
      </w:r>
      <w:r w:rsidRPr="001B62E0">
        <w:rPr>
          <w:rFonts w:cstheme="minorHAnsi"/>
        </w:rPr>
        <w:t>≥</w:t>
      </w:r>
      <w:r w:rsidR="00AE4652">
        <w:t>1/10); часто (</w:t>
      </w:r>
      <w:r w:rsidR="00AE4652" w:rsidRPr="001B62E0">
        <w:rPr>
          <w:rFonts w:cstheme="minorHAnsi"/>
        </w:rPr>
        <w:t>≥</w:t>
      </w:r>
      <w:r w:rsidR="008C428A">
        <w:t>1/100</w:t>
      </w:r>
      <w:r w:rsidR="00AE4652">
        <w:t xml:space="preserve"> - </w:t>
      </w:r>
      <w:r w:rsidR="00AE4652" w:rsidRPr="001B62E0">
        <w:rPr>
          <w:rFonts w:ascii="Verdana" w:hAnsi="Verdana"/>
        </w:rPr>
        <w:t>&lt;</w:t>
      </w:r>
      <w:r w:rsidR="00AE4652">
        <w:t>1/10); нечасто (</w:t>
      </w:r>
      <w:r w:rsidR="00AE4652" w:rsidRPr="001B62E0">
        <w:rPr>
          <w:rFonts w:cstheme="minorHAnsi"/>
        </w:rPr>
        <w:t>≥</w:t>
      </w:r>
      <w:r w:rsidR="00AE4652">
        <w:t xml:space="preserve"> 1/1000 - </w:t>
      </w:r>
      <w:r w:rsidR="00AE4652" w:rsidRPr="001B62E0">
        <w:rPr>
          <w:rFonts w:ascii="Verdana" w:hAnsi="Verdana"/>
        </w:rPr>
        <w:t>&lt;</w:t>
      </w:r>
      <w:r w:rsidR="00AE4652">
        <w:t>1/100); редко (</w:t>
      </w:r>
      <w:r w:rsidR="00AE4652" w:rsidRPr="001B62E0">
        <w:rPr>
          <w:rFonts w:cstheme="minorHAnsi"/>
        </w:rPr>
        <w:t xml:space="preserve">≥ 1/10 000 </w:t>
      </w:r>
      <w:r w:rsidR="008C428A">
        <w:rPr>
          <w:rFonts w:cstheme="minorHAnsi"/>
        </w:rPr>
        <w:t>–</w:t>
      </w:r>
      <w:r w:rsidR="00AE4652" w:rsidRPr="001B62E0">
        <w:rPr>
          <w:rFonts w:cstheme="minorHAnsi"/>
        </w:rPr>
        <w:t xml:space="preserve"> </w:t>
      </w:r>
    </w:p>
    <w:p w:rsidR="009762B6" w:rsidRPr="001B62E0" w:rsidRDefault="00AE4652" w:rsidP="008C428A">
      <w:pPr>
        <w:spacing w:after="0"/>
        <w:jc w:val="both"/>
        <w:rPr>
          <w:rFonts w:cstheme="minorHAnsi"/>
        </w:rPr>
      </w:pPr>
      <w:proofErr w:type="gramStart"/>
      <w:r w:rsidRPr="001B62E0">
        <w:rPr>
          <w:rFonts w:ascii="Verdana" w:hAnsi="Verdana" w:cstheme="minorHAnsi"/>
        </w:rPr>
        <w:t>&lt;</w:t>
      </w:r>
      <w:r w:rsidRPr="001B62E0">
        <w:rPr>
          <w:rFonts w:cstheme="minorHAnsi"/>
        </w:rPr>
        <w:t xml:space="preserve"> 1</w:t>
      </w:r>
      <w:proofErr w:type="gramEnd"/>
      <w:r w:rsidRPr="001B62E0">
        <w:rPr>
          <w:rFonts w:cstheme="minorHAnsi"/>
        </w:rPr>
        <w:t xml:space="preserve">/1000); очень редко </w:t>
      </w:r>
      <w:r>
        <w:t>(</w:t>
      </w:r>
      <w:r w:rsidRPr="001B62E0">
        <w:rPr>
          <w:rFonts w:ascii="Verdana" w:hAnsi="Verdana" w:cstheme="minorHAnsi"/>
        </w:rPr>
        <w:t>&lt;</w:t>
      </w:r>
      <w:r w:rsidRPr="001B62E0">
        <w:rPr>
          <w:rFonts w:cstheme="minorHAnsi"/>
        </w:rPr>
        <w:t xml:space="preserve"> 1/10 000); частота не известна</w:t>
      </w:r>
      <w:r w:rsidR="002341F9">
        <w:rPr>
          <w:rFonts w:cstheme="minorHAnsi"/>
        </w:rPr>
        <w:t xml:space="preserve"> </w:t>
      </w:r>
      <w:r w:rsidRPr="001B62E0">
        <w:rPr>
          <w:rFonts w:cstheme="minorHAnsi"/>
        </w:rPr>
        <w:t>(не может быт оценена по имеющимся данным).</w:t>
      </w:r>
    </w:p>
    <w:p w:rsidR="00AE4652" w:rsidRPr="001B62E0" w:rsidRDefault="00AE4652" w:rsidP="008C428A">
      <w:pPr>
        <w:spacing w:after="0"/>
        <w:jc w:val="both"/>
        <w:rPr>
          <w:rFonts w:cstheme="minorHAnsi"/>
        </w:rPr>
      </w:pPr>
      <w:r w:rsidRPr="001B62E0">
        <w:rPr>
          <w:rFonts w:cstheme="minorHAnsi"/>
          <w:b/>
          <w:i/>
        </w:rPr>
        <w:t>Со стороны сердца:</w:t>
      </w:r>
      <w:r w:rsidRPr="001B62E0">
        <w:rPr>
          <w:rFonts w:cstheme="minorHAnsi"/>
        </w:rPr>
        <w:t xml:space="preserve"> </w:t>
      </w:r>
      <w:r w:rsidRPr="001B62E0">
        <w:rPr>
          <w:rFonts w:cstheme="minorHAnsi"/>
          <w:i/>
        </w:rPr>
        <w:t>редко</w:t>
      </w:r>
      <w:r w:rsidRPr="001B62E0">
        <w:rPr>
          <w:rFonts w:cstheme="minorHAnsi"/>
        </w:rPr>
        <w:t xml:space="preserve"> – нарушения ритма сердца, тахикардия; </w:t>
      </w:r>
      <w:r w:rsidRPr="001B62E0">
        <w:rPr>
          <w:rFonts w:cstheme="minorHAnsi"/>
          <w:i/>
        </w:rPr>
        <w:t>очень редко</w:t>
      </w:r>
      <w:r w:rsidRPr="001B62E0">
        <w:rPr>
          <w:rFonts w:cstheme="minorHAnsi"/>
        </w:rPr>
        <w:t xml:space="preserve"> – брадикардия у плода, ощущение сердцебиения.</w:t>
      </w:r>
    </w:p>
    <w:p w:rsidR="00AE4652" w:rsidRPr="001B62E0" w:rsidRDefault="00AE4652" w:rsidP="008C428A">
      <w:pPr>
        <w:spacing w:after="0"/>
        <w:jc w:val="both"/>
        <w:rPr>
          <w:rFonts w:cstheme="minorHAnsi"/>
        </w:rPr>
      </w:pPr>
      <w:r w:rsidRPr="001B62E0">
        <w:rPr>
          <w:rFonts w:cstheme="minorHAnsi"/>
          <w:b/>
          <w:i/>
        </w:rPr>
        <w:t>Со стороны крови и лимфатической системы:</w:t>
      </w:r>
      <w:r w:rsidRPr="001B62E0">
        <w:rPr>
          <w:rFonts w:cstheme="minorHAnsi"/>
        </w:rPr>
        <w:t xml:space="preserve"> </w:t>
      </w:r>
      <w:r w:rsidRPr="001B62E0">
        <w:rPr>
          <w:rFonts w:cstheme="minorHAnsi"/>
          <w:i/>
        </w:rPr>
        <w:t>очень редко</w:t>
      </w:r>
      <w:r w:rsidRPr="001B62E0">
        <w:rPr>
          <w:rFonts w:cstheme="minorHAnsi"/>
        </w:rPr>
        <w:t xml:space="preserve"> – гемолиз.</w:t>
      </w:r>
    </w:p>
    <w:p w:rsidR="00AE4652" w:rsidRPr="001B62E0" w:rsidRDefault="00AE4652" w:rsidP="008C428A">
      <w:pPr>
        <w:spacing w:after="0"/>
        <w:jc w:val="both"/>
        <w:rPr>
          <w:rFonts w:cstheme="minorHAnsi"/>
        </w:rPr>
      </w:pPr>
      <w:r w:rsidRPr="001B62E0">
        <w:rPr>
          <w:rFonts w:cstheme="minorHAnsi"/>
          <w:b/>
          <w:i/>
        </w:rPr>
        <w:t>Со стороны нервной системы:</w:t>
      </w:r>
      <w:r w:rsidRPr="001B62E0">
        <w:rPr>
          <w:rFonts w:cstheme="minorHAnsi"/>
        </w:rPr>
        <w:t xml:space="preserve"> </w:t>
      </w:r>
      <w:r w:rsidRPr="001B62E0">
        <w:rPr>
          <w:rFonts w:cstheme="minorHAnsi"/>
          <w:i/>
        </w:rPr>
        <w:t>нечасто</w:t>
      </w:r>
      <w:r w:rsidRPr="001B62E0">
        <w:rPr>
          <w:rFonts w:cstheme="minorHAnsi"/>
        </w:rPr>
        <w:t xml:space="preserve"> - нарушение четкости зрительного восприятия, онемение, дисфония; </w:t>
      </w:r>
      <w:r w:rsidRPr="001B62E0">
        <w:rPr>
          <w:rFonts w:cstheme="minorHAnsi"/>
          <w:i/>
        </w:rPr>
        <w:t xml:space="preserve">редко – </w:t>
      </w:r>
      <w:r w:rsidRPr="001B62E0">
        <w:rPr>
          <w:rFonts w:cstheme="minorHAnsi"/>
        </w:rPr>
        <w:t xml:space="preserve">потеря сознания, судороги, головокружение, возбуждение, тремор, утомляемость, снижение мыслительной способности; </w:t>
      </w:r>
      <w:r w:rsidRPr="001B62E0">
        <w:rPr>
          <w:rFonts w:cstheme="minorHAnsi"/>
          <w:i/>
        </w:rPr>
        <w:t>очень редко</w:t>
      </w:r>
      <w:r w:rsidRPr="001B62E0">
        <w:rPr>
          <w:rFonts w:cstheme="minorHAnsi"/>
        </w:rPr>
        <w:t xml:space="preserve"> – головная боль, парастезии. </w:t>
      </w:r>
    </w:p>
    <w:p w:rsidR="00AE4652" w:rsidRPr="001B62E0" w:rsidRDefault="00AE4652" w:rsidP="008C428A">
      <w:pPr>
        <w:spacing w:after="0"/>
        <w:jc w:val="both"/>
        <w:rPr>
          <w:rFonts w:cstheme="minorHAnsi"/>
        </w:rPr>
      </w:pPr>
      <w:r w:rsidRPr="001B62E0">
        <w:rPr>
          <w:rFonts w:cstheme="minorHAnsi"/>
          <w:b/>
          <w:i/>
        </w:rPr>
        <w:t>Со стороны органа слуха:</w:t>
      </w:r>
      <w:r w:rsidRPr="001B62E0">
        <w:rPr>
          <w:rFonts w:cstheme="minorHAnsi"/>
        </w:rPr>
        <w:t xml:space="preserve"> </w:t>
      </w:r>
      <w:r w:rsidRPr="001B62E0">
        <w:rPr>
          <w:rFonts w:cstheme="minorHAnsi"/>
          <w:i/>
        </w:rPr>
        <w:t>очень редко</w:t>
      </w:r>
      <w:r w:rsidRPr="001B62E0">
        <w:rPr>
          <w:rFonts w:cstheme="minorHAnsi"/>
        </w:rPr>
        <w:t xml:space="preserve"> – кратковременная потеря слуха.</w:t>
      </w:r>
    </w:p>
    <w:p w:rsidR="00AE4652" w:rsidRPr="001B62E0" w:rsidRDefault="00AE4652" w:rsidP="008C428A">
      <w:pPr>
        <w:spacing w:after="0"/>
        <w:jc w:val="both"/>
        <w:rPr>
          <w:rFonts w:cstheme="minorHAnsi"/>
        </w:rPr>
      </w:pPr>
      <w:r w:rsidRPr="001B62E0">
        <w:rPr>
          <w:rFonts w:cstheme="minorHAnsi"/>
          <w:b/>
          <w:i/>
        </w:rPr>
        <w:t>Со стороны дыхательной системы, органов грудной клетки и средостения</w:t>
      </w:r>
      <w:r w:rsidRPr="001B62E0">
        <w:rPr>
          <w:rFonts w:cstheme="minorHAnsi"/>
        </w:rPr>
        <w:t>:</w:t>
      </w:r>
      <w:r w:rsidRPr="001B62E0">
        <w:rPr>
          <w:rFonts w:cstheme="minorHAnsi"/>
          <w:i/>
        </w:rPr>
        <w:t xml:space="preserve"> нечасто </w:t>
      </w:r>
      <w:r w:rsidRPr="001B62E0">
        <w:rPr>
          <w:rFonts w:cstheme="minorHAnsi"/>
        </w:rPr>
        <w:t xml:space="preserve">– одышка; </w:t>
      </w:r>
      <w:r w:rsidRPr="001B62E0">
        <w:rPr>
          <w:rFonts w:cstheme="minorHAnsi"/>
          <w:i/>
        </w:rPr>
        <w:t>редко</w:t>
      </w:r>
      <w:r w:rsidRPr="001B62E0">
        <w:rPr>
          <w:rFonts w:cstheme="minorHAnsi"/>
        </w:rPr>
        <w:t xml:space="preserve"> – боль в груд</w:t>
      </w:r>
      <w:r w:rsidR="008C428A">
        <w:rPr>
          <w:rFonts w:cstheme="minorHAnsi"/>
        </w:rPr>
        <w:t>ной клетке</w:t>
      </w:r>
      <w:r w:rsidRPr="001B62E0">
        <w:rPr>
          <w:rFonts w:cstheme="minorHAnsi"/>
        </w:rPr>
        <w:t>.</w:t>
      </w:r>
    </w:p>
    <w:p w:rsidR="00AE4652" w:rsidRDefault="00AE4652" w:rsidP="008C428A">
      <w:pPr>
        <w:spacing w:after="0"/>
        <w:jc w:val="both"/>
      </w:pPr>
      <w:r w:rsidRPr="001B62E0">
        <w:rPr>
          <w:rFonts w:cstheme="minorHAnsi"/>
          <w:b/>
          <w:i/>
        </w:rPr>
        <w:t xml:space="preserve">Со стороны </w:t>
      </w:r>
      <w:r w:rsidR="008C428A">
        <w:rPr>
          <w:rFonts w:cstheme="minorHAnsi"/>
          <w:b/>
          <w:i/>
        </w:rPr>
        <w:t>желудочно</w:t>
      </w:r>
      <w:r w:rsidR="008C428A">
        <w:rPr>
          <w:b/>
          <w:i/>
        </w:rPr>
        <w:t>-</w:t>
      </w:r>
      <w:r w:rsidRPr="001B62E0">
        <w:rPr>
          <w:b/>
          <w:i/>
        </w:rPr>
        <w:t>кишечного тракта:</w:t>
      </w:r>
      <w:r>
        <w:t xml:space="preserve"> </w:t>
      </w:r>
      <w:r w:rsidRPr="001B62E0">
        <w:rPr>
          <w:i/>
        </w:rPr>
        <w:t xml:space="preserve">нечасто </w:t>
      </w:r>
      <w:r>
        <w:t xml:space="preserve">– тошнота, рвота, боли в животе, запор; </w:t>
      </w:r>
      <w:r w:rsidRPr="001B62E0">
        <w:rPr>
          <w:i/>
        </w:rPr>
        <w:t>редко</w:t>
      </w:r>
      <w:r>
        <w:t xml:space="preserve"> – диарея.</w:t>
      </w:r>
    </w:p>
    <w:p w:rsidR="00AE4652" w:rsidRDefault="00AE4652" w:rsidP="008C428A">
      <w:pPr>
        <w:spacing w:after="0"/>
        <w:jc w:val="both"/>
      </w:pPr>
      <w:r w:rsidRPr="001B62E0">
        <w:rPr>
          <w:rFonts w:cstheme="minorHAnsi"/>
          <w:b/>
          <w:i/>
        </w:rPr>
        <w:t>Со стороны кожи и подкожных</w:t>
      </w:r>
      <w:r w:rsidR="009C08DB" w:rsidRPr="001B62E0">
        <w:rPr>
          <w:rFonts w:cstheme="minorHAnsi"/>
          <w:b/>
          <w:i/>
        </w:rPr>
        <w:t xml:space="preserve"> </w:t>
      </w:r>
      <w:r w:rsidRPr="001B62E0">
        <w:rPr>
          <w:rFonts w:cstheme="minorHAnsi"/>
          <w:b/>
          <w:i/>
        </w:rPr>
        <w:t>тканей</w:t>
      </w:r>
      <w:r w:rsidRPr="00AE4652">
        <w:t>:</w:t>
      </w:r>
      <w:r w:rsidRPr="001B62E0">
        <w:rPr>
          <w:i/>
        </w:rPr>
        <w:t xml:space="preserve"> нечасто </w:t>
      </w:r>
      <w:r>
        <w:t>– «приливы»</w:t>
      </w:r>
      <w:r w:rsidR="009C08DB">
        <w:t>, кожный</w:t>
      </w:r>
      <w:r>
        <w:t xml:space="preserve"> зуд, кожная сыпь; </w:t>
      </w:r>
      <w:r w:rsidRPr="001B62E0">
        <w:rPr>
          <w:i/>
        </w:rPr>
        <w:t>редко</w:t>
      </w:r>
      <w:r>
        <w:t xml:space="preserve"> – ангионевротический отек, потливость.</w:t>
      </w:r>
    </w:p>
    <w:p w:rsidR="00AE4652" w:rsidRDefault="00AE4652" w:rsidP="008C428A">
      <w:pPr>
        <w:spacing w:after="0"/>
        <w:jc w:val="both"/>
      </w:pPr>
      <w:r w:rsidRPr="001B62E0">
        <w:rPr>
          <w:rFonts w:cstheme="minorHAnsi"/>
          <w:b/>
          <w:i/>
        </w:rPr>
        <w:t>Со стороны скелетно</w:t>
      </w:r>
      <w:r w:rsidRPr="00AE4652">
        <w:t>-</w:t>
      </w:r>
      <w:r w:rsidRPr="001B62E0">
        <w:rPr>
          <w:b/>
          <w:i/>
        </w:rPr>
        <w:t>мышечной и соединительной ткани:</w:t>
      </w:r>
      <w:r>
        <w:t xml:space="preserve"> </w:t>
      </w:r>
      <w:r w:rsidR="009C08DB" w:rsidRPr="001B62E0">
        <w:rPr>
          <w:i/>
        </w:rPr>
        <w:t>нечасто</w:t>
      </w:r>
      <w:r w:rsidR="009C08DB">
        <w:t xml:space="preserve"> – мышечные судороги; </w:t>
      </w:r>
      <w:r w:rsidR="009C08DB" w:rsidRPr="001B62E0">
        <w:rPr>
          <w:i/>
        </w:rPr>
        <w:t>редко</w:t>
      </w:r>
      <w:r w:rsidR="009C08DB">
        <w:t xml:space="preserve"> – миалгия, артралгия. </w:t>
      </w:r>
    </w:p>
    <w:p w:rsidR="009C08DB" w:rsidRDefault="009C08DB" w:rsidP="008C428A">
      <w:pPr>
        <w:spacing w:after="0"/>
        <w:jc w:val="both"/>
      </w:pPr>
      <w:r w:rsidRPr="001B62E0">
        <w:rPr>
          <w:rFonts w:cstheme="minorHAnsi"/>
          <w:b/>
          <w:i/>
        </w:rPr>
        <w:t>Со стороны сосудов</w:t>
      </w:r>
      <w:r w:rsidRPr="009C08DB">
        <w:t>:</w:t>
      </w:r>
      <w:r>
        <w:t xml:space="preserve"> </w:t>
      </w:r>
      <w:r w:rsidRPr="001B62E0">
        <w:rPr>
          <w:i/>
        </w:rPr>
        <w:t>редко</w:t>
      </w:r>
      <w:r>
        <w:t xml:space="preserve"> – артериальная гипотензия; </w:t>
      </w:r>
      <w:r w:rsidRPr="001B62E0">
        <w:rPr>
          <w:i/>
        </w:rPr>
        <w:t>очень редко</w:t>
      </w:r>
      <w:r>
        <w:t xml:space="preserve"> – артериальная гипертензия.</w:t>
      </w:r>
    </w:p>
    <w:p w:rsidR="009C08DB" w:rsidRDefault="009C08DB" w:rsidP="008C428A">
      <w:pPr>
        <w:spacing w:after="0"/>
        <w:jc w:val="both"/>
      </w:pPr>
      <w:r w:rsidRPr="001B62E0">
        <w:rPr>
          <w:rFonts w:cstheme="minorHAnsi"/>
          <w:b/>
          <w:i/>
        </w:rPr>
        <w:t>Общие расстройства и нарушения в месте введения</w:t>
      </w:r>
      <w:r w:rsidRPr="009C08DB">
        <w:t>:</w:t>
      </w:r>
      <w:r>
        <w:t xml:space="preserve"> </w:t>
      </w:r>
      <w:r w:rsidRPr="001B62E0">
        <w:rPr>
          <w:i/>
        </w:rPr>
        <w:t>нечасто</w:t>
      </w:r>
      <w:r>
        <w:t xml:space="preserve"> – анафилактоидные реакции, ощущение жара, лихорадка, ощущение недомогания, гиперемия кожи, боль и отек в месте введения, локальный флебит; </w:t>
      </w:r>
      <w:r w:rsidRPr="001B62E0">
        <w:rPr>
          <w:i/>
        </w:rPr>
        <w:t>редко</w:t>
      </w:r>
      <w:r>
        <w:t xml:space="preserve"> – утомляемость; </w:t>
      </w:r>
      <w:r w:rsidRPr="001B62E0">
        <w:rPr>
          <w:i/>
        </w:rPr>
        <w:t>очень редко</w:t>
      </w:r>
      <w:r>
        <w:t xml:space="preserve"> – острые тяжелые анафилактические реакции. </w:t>
      </w:r>
    </w:p>
    <w:p w:rsidR="001B62E0" w:rsidRPr="009762B6" w:rsidRDefault="001B62E0" w:rsidP="008C428A">
      <w:pPr>
        <w:spacing w:after="0"/>
        <w:jc w:val="both"/>
      </w:pPr>
    </w:p>
    <w:p w:rsidR="00D677CE" w:rsidRPr="001B62E0" w:rsidRDefault="009C08DB" w:rsidP="008C428A">
      <w:pPr>
        <w:spacing w:after="0"/>
        <w:jc w:val="both"/>
        <w:rPr>
          <w:b/>
        </w:rPr>
      </w:pPr>
      <w:r w:rsidRPr="001B62E0">
        <w:rPr>
          <w:b/>
        </w:rPr>
        <w:t xml:space="preserve">ПЕРЕДОЗИРОВКА </w:t>
      </w:r>
    </w:p>
    <w:p w:rsidR="009C08DB" w:rsidRDefault="009C08DB" w:rsidP="008C428A">
      <w:pPr>
        <w:spacing w:after="0"/>
        <w:jc w:val="both"/>
      </w:pPr>
      <w:r w:rsidRPr="009C08DB">
        <w:t>Железо (</w:t>
      </w:r>
      <w:r w:rsidRPr="001B62E0">
        <w:rPr>
          <w:lang w:val="en-US"/>
        </w:rPr>
        <w:t>III</w:t>
      </w:r>
      <w:r w:rsidR="008C428A">
        <w:t>)</w:t>
      </w:r>
      <w:r w:rsidRPr="009C08DB">
        <w:t xml:space="preserve"> изомальтозид 1000 в препарате Монофер обладает низкой токсичностью. Препарат хорошо переносится; риск случайной передозировки минимален. Передозировка может привести к кумуляции железа в депо, и,</w:t>
      </w:r>
      <w:r>
        <w:t xml:space="preserve"> к</w:t>
      </w:r>
      <w:r w:rsidRPr="009C08DB">
        <w:t>ак следствие, к гемосидерозу. Контроль содержани</w:t>
      </w:r>
      <w:r>
        <w:t>я железа в ор</w:t>
      </w:r>
      <w:r w:rsidRPr="009C08DB">
        <w:t>г</w:t>
      </w:r>
      <w:r>
        <w:t>а</w:t>
      </w:r>
      <w:r w:rsidRPr="009C08DB">
        <w:t xml:space="preserve">низме проводят, определяя концентрацию ферритина в плазме крови. В качестве поддерживающей терапии могут применяться хелаты. </w:t>
      </w:r>
    </w:p>
    <w:p w:rsidR="001B62E0" w:rsidRDefault="001B62E0" w:rsidP="008C428A">
      <w:pPr>
        <w:spacing w:after="0"/>
        <w:jc w:val="both"/>
      </w:pPr>
    </w:p>
    <w:p w:rsidR="008C428A" w:rsidRDefault="009C08DB" w:rsidP="008C428A">
      <w:pPr>
        <w:spacing w:after="0"/>
        <w:jc w:val="both"/>
        <w:rPr>
          <w:b/>
        </w:rPr>
      </w:pPr>
      <w:r w:rsidRPr="001B62E0">
        <w:rPr>
          <w:b/>
        </w:rPr>
        <w:t>ВЗАИМОДЕЙСТВИЕ С ДРУГИМИ ЛЕКАРСТВЕННЫМИ СРЕДСТВАМИ</w:t>
      </w:r>
    </w:p>
    <w:p w:rsidR="00BB312F" w:rsidRPr="008C428A" w:rsidRDefault="009C08DB" w:rsidP="008C428A">
      <w:pPr>
        <w:spacing w:after="0"/>
        <w:jc w:val="both"/>
        <w:rPr>
          <w:b/>
        </w:rPr>
      </w:pPr>
      <w:r>
        <w:t>Одновременное применение парентеральных препаратов железа для приема внутрь приводит к уменьшению всасывания железа из желудочно-кишечного тракта. Лечение пероральными препаратами железа можно начинать не ранее, чем через</w:t>
      </w:r>
      <w:r w:rsidR="00BB312F">
        <w:t xml:space="preserve"> </w:t>
      </w:r>
      <w:r>
        <w:t xml:space="preserve"> 5 дней после последней инъекции препарата Монофер. При введении парентеральных пр</w:t>
      </w:r>
      <w:r w:rsidR="008C428A">
        <w:t>епаратов железа в больших дозах</w:t>
      </w:r>
      <w:r>
        <w:t xml:space="preserve"> </w:t>
      </w:r>
      <w:r w:rsidR="002341F9">
        <w:t>(</w:t>
      </w:r>
      <w:r>
        <w:t xml:space="preserve">5 мл и </w:t>
      </w:r>
      <w:r>
        <w:lastRenderedPageBreak/>
        <w:t xml:space="preserve">более) наблюдалось </w:t>
      </w:r>
      <w:r w:rsidR="00BB312F">
        <w:t>окрашивание в коричневый цвет проб сыворотки, полученных из крови, взятой пос</w:t>
      </w:r>
      <w:r w:rsidR="008C428A">
        <w:t xml:space="preserve">ле введения препарата. На фоне </w:t>
      </w:r>
      <w:r w:rsidR="00BB312F">
        <w:t xml:space="preserve">применения парентеральных препаратов железа могут определяться ложно завышенная концентрация билирубина и ложно заниженная концентрация кальция в плазме крови. </w:t>
      </w:r>
    </w:p>
    <w:p w:rsidR="001B62E0" w:rsidRDefault="001B62E0" w:rsidP="008C428A">
      <w:pPr>
        <w:spacing w:after="0"/>
        <w:jc w:val="both"/>
      </w:pPr>
    </w:p>
    <w:p w:rsidR="00BB312F" w:rsidRPr="001B62E0" w:rsidRDefault="00BB312F" w:rsidP="008C428A">
      <w:pPr>
        <w:spacing w:after="0"/>
        <w:jc w:val="both"/>
        <w:rPr>
          <w:b/>
        </w:rPr>
      </w:pPr>
      <w:r w:rsidRPr="001B62E0">
        <w:rPr>
          <w:b/>
        </w:rPr>
        <w:t>ОСОБЫЕ УКАЗАНИЯ</w:t>
      </w:r>
    </w:p>
    <w:p w:rsidR="00BB312F" w:rsidRDefault="00BB312F" w:rsidP="008C428A">
      <w:pPr>
        <w:spacing w:after="0"/>
        <w:jc w:val="both"/>
      </w:pPr>
      <w:r>
        <w:t>Препараты железа, которые вводятся парентерально, могут вызывать реакции повышенной чувствительности, включая серьезные и потенциально опасные для жизни анафилактические/анафилактоидные реакции. Реакции гиперчувствительности могут появиться, даже если предшествующие парентеральные введения препаратов железа не вызывали никаких нежелательных реакций. Этот риск увеличивается у пациентов с известной аллергией, включая аллергические реакции на лекарственные препараты, а также у пациентов, имеющих в анамнезе тяжелые приступы бронхиальной астмы</w:t>
      </w:r>
      <w:r w:rsidR="00971FB0">
        <w:t>,</w:t>
      </w:r>
      <w:r>
        <w:t xml:space="preserve"> экзему или другую атопическую аллергию. Риск развития аллергических реакций на парентеральные препараты железа также повышается у пациентов с иммунными и инфекционными заболеваниями (в т.ч. системной красной вол</w:t>
      </w:r>
      <w:r w:rsidR="00FE2CAE">
        <w:t xml:space="preserve">чанкой и ревматоидным артритом). </w:t>
      </w:r>
    </w:p>
    <w:p w:rsidR="00FE2CAE" w:rsidRDefault="00FE2CAE" w:rsidP="008C428A">
      <w:pPr>
        <w:spacing w:after="0"/>
        <w:jc w:val="both"/>
      </w:pPr>
      <w:r>
        <w:t>Применение препарата Монофер возможно только при участии медицинского персонала, способного выявлять анафилактические реакции и оказывать необходимую помощь, при условии доступности противошоковой терапии. Каждый пациент должен находиться под пристальным наблюдением медицинского персонала для своевременного выявления нежелательных явлений в течение 30 минут после введения препарата Монофер. Если во время введения препарата развивается аллергическая реакция или появляются признаки плохой переносимости применение препарата Монофер должно быть немедленно остановлено. Введение препарат</w:t>
      </w:r>
      <w:r w:rsidR="00971FB0">
        <w:t>а</w:t>
      </w:r>
      <w:r>
        <w:t xml:space="preserve"> следует проводить в условиях доступности средств сердечно-легочной реанимации и лечения острых анафилактических/анафилактоидных реакций, в</w:t>
      </w:r>
      <w:r w:rsidR="00971FB0">
        <w:t xml:space="preserve"> том числе раствора для инъекций</w:t>
      </w:r>
      <w:r>
        <w:t xml:space="preserve"> с адреналином (1:1000). При необходимости, дополнительно могут применяться антигистаминные средства и/или  кортикостероидные препараты. </w:t>
      </w:r>
    </w:p>
    <w:p w:rsidR="00FE2CAE" w:rsidRDefault="00FE2CAE" w:rsidP="008C428A">
      <w:pPr>
        <w:spacing w:after="0"/>
        <w:jc w:val="both"/>
      </w:pPr>
      <w:r>
        <w:t xml:space="preserve">Парентеральные препараты железа следует применять с осторожностью у пациентов с острыми или хроническими инфекционными заболеваниями. Монофер не следует применять при инъекциях, сопровождающихся бактериемией. </w:t>
      </w:r>
    </w:p>
    <w:p w:rsidR="00FE2CAE" w:rsidRDefault="00FE2CAE" w:rsidP="008C428A">
      <w:pPr>
        <w:spacing w:after="0"/>
        <w:jc w:val="both"/>
      </w:pPr>
      <w:r>
        <w:t xml:space="preserve">При высокой скорости введения препарата возможны эпизоды внезапного значительного снижении артериального давления. </w:t>
      </w:r>
    </w:p>
    <w:p w:rsidR="00FE2CAE" w:rsidRDefault="00FE2CAE" w:rsidP="008C428A">
      <w:pPr>
        <w:spacing w:after="0"/>
        <w:jc w:val="both"/>
      </w:pPr>
      <w:r>
        <w:t xml:space="preserve">Следует избегать проникновения препарата в околовенозное пространство, т.к. попадание препарата за пределы сосуда может приводить к раздражению кожи и длительному коричневому окрашиванию тканей в месте его введения. В случае проникновения раствора в околовенозное пространство введение препарата Монофер должно быть немедленно </w:t>
      </w:r>
      <w:r w:rsidR="00506AE4">
        <w:t xml:space="preserve">остановлено. </w:t>
      </w:r>
    </w:p>
    <w:p w:rsidR="00506AE4" w:rsidRDefault="00506AE4" w:rsidP="008C428A">
      <w:pPr>
        <w:spacing w:after="0"/>
        <w:jc w:val="both"/>
      </w:pPr>
      <w:r>
        <w:t xml:space="preserve">При первичном вскрытии контейнера неразведенный раствор препарата следует использовать незамедлительно с микробиологической точки зрения, за исключением тех случаев, когда метод вскрытия контейнера исключает риск микробной контаминации. </w:t>
      </w:r>
    </w:p>
    <w:p w:rsidR="00506AE4" w:rsidRDefault="00506AE4" w:rsidP="008C428A">
      <w:pPr>
        <w:spacing w:after="0"/>
        <w:jc w:val="both"/>
      </w:pPr>
      <w:r w:rsidRPr="00971FB0">
        <w:rPr>
          <w:i/>
        </w:rPr>
        <w:t>После</w:t>
      </w:r>
      <w:r>
        <w:t xml:space="preserve"> </w:t>
      </w:r>
      <w:r w:rsidRPr="00971FB0">
        <w:rPr>
          <w:i/>
        </w:rPr>
        <w:t>разведения препарата в стерильном 0,9% растворе натрия хлорида для инъекций</w:t>
      </w:r>
      <w:r>
        <w:t xml:space="preserve"> полученный раствор хранить при комнатной температуре не более 24 ч. Тем не менее, с микробиологической </w:t>
      </w:r>
      <w:r w:rsidR="00971FB0">
        <w:t>т</w:t>
      </w:r>
      <w:r>
        <w:t>очки зрения препарат следует применять немедленно.</w:t>
      </w:r>
    </w:p>
    <w:p w:rsidR="001B62E0" w:rsidRDefault="001B62E0" w:rsidP="008C428A">
      <w:pPr>
        <w:spacing w:after="0"/>
        <w:jc w:val="both"/>
      </w:pPr>
    </w:p>
    <w:p w:rsidR="00506AE4" w:rsidRPr="001B62E0" w:rsidRDefault="00506AE4" w:rsidP="008C428A">
      <w:pPr>
        <w:spacing w:after="0"/>
        <w:jc w:val="both"/>
        <w:rPr>
          <w:b/>
        </w:rPr>
      </w:pPr>
      <w:r w:rsidRPr="001B62E0">
        <w:rPr>
          <w:b/>
        </w:rPr>
        <w:t>ВЛИЯНИЕ НА СПОСОБНОСТЬ УПРАВЛЕНИЯ ТРАНСПОРТНЫМИ СРЕДСТВАМИ И МЕХАНИЗМАМИ</w:t>
      </w:r>
    </w:p>
    <w:p w:rsidR="00506AE4" w:rsidRDefault="00506AE4" w:rsidP="008C428A">
      <w:pPr>
        <w:spacing w:after="0"/>
        <w:jc w:val="both"/>
      </w:pPr>
      <w:r>
        <w:t>Исследований по изучению влияния препарата Монофер на способность управления транспортными средствами и механизмами не проводилось.</w:t>
      </w:r>
    </w:p>
    <w:p w:rsidR="001B62E0" w:rsidRDefault="001B62E0" w:rsidP="008C428A">
      <w:pPr>
        <w:spacing w:after="0"/>
        <w:jc w:val="both"/>
      </w:pPr>
    </w:p>
    <w:p w:rsidR="00506AE4" w:rsidRPr="001B62E0" w:rsidRDefault="00506AE4" w:rsidP="008C428A">
      <w:pPr>
        <w:spacing w:after="0"/>
        <w:jc w:val="both"/>
        <w:rPr>
          <w:b/>
        </w:rPr>
      </w:pPr>
      <w:r w:rsidRPr="001B62E0">
        <w:rPr>
          <w:b/>
        </w:rPr>
        <w:t xml:space="preserve">Форма выпуска </w:t>
      </w:r>
    </w:p>
    <w:p w:rsidR="00506AE4" w:rsidRDefault="00506AE4" w:rsidP="008C428A">
      <w:pPr>
        <w:spacing w:after="0"/>
        <w:jc w:val="both"/>
      </w:pPr>
      <w:r>
        <w:t xml:space="preserve">Раствор для внутривенного введения, 100 мг/мл. По 1,2,5 или 10 мл препарата в ампулах из прозрачного бесцветного гидролитического стекла типа </w:t>
      </w:r>
      <w:r w:rsidRPr="001B62E0">
        <w:rPr>
          <w:lang w:val="en-US"/>
        </w:rPr>
        <w:t>I</w:t>
      </w:r>
      <w:r w:rsidRPr="00506AE4">
        <w:t xml:space="preserve"> </w:t>
      </w:r>
      <w:r>
        <w:t xml:space="preserve">(Евр.Ф.) с точкой надлома белого цвета. </w:t>
      </w:r>
    </w:p>
    <w:p w:rsidR="00506AE4" w:rsidRDefault="00506AE4" w:rsidP="008C428A">
      <w:pPr>
        <w:spacing w:after="0"/>
        <w:jc w:val="both"/>
      </w:pPr>
      <w:r>
        <w:lastRenderedPageBreak/>
        <w:t>По 2 ампулы (по 5 или 10 мл), или по 5 ампул (по 1,2,5 или 10 мл), или по 10 ампул (по 1 или 2 мл) помещают в пачку картонную вместе с инструкцией по применению.</w:t>
      </w:r>
    </w:p>
    <w:p w:rsidR="001B62E0" w:rsidRDefault="001B62E0" w:rsidP="008C428A">
      <w:pPr>
        <w:spacing w:after="0"/>
        <w:jc w:val="both"/>
      </w:pPr>
    </w:p>
    <w:p w:rsidR="00506AE4" w:rsidRPr="001B62E0" w:rsidRDefault="00506AE4" w:rsidP="008C428A">
      <w:pPr>
        <w:spacing w:after="0"/>
        <w:jc w:val="both"/>
        <w:rPr>
          <w:b/>
        </w:rPr>
      </w:pPr>
      <w:r w:rsidRPr="001B62E0">
        <w:rPr>
          <w:b/>
        </w:rPr>
        <w:t>Условия хранения</w:t>
      </w:r>
    </w:p>
    <w:p w:rsidR="00506AE4" w:rsidRPr="00506AE4" w:rsidRDefault="00506AE4" w:rsidP="008C428A">
      <w:pPr>
        <w:spacing w:after="0"/>
        <w:jc w:val="both"/>
      </w:pPr>
      <w:r w:rsidRPr="00506AE4">
        <w:t>Хранить при температуре не выше 25</w:t>
      </w:r>
      <w:r w:rsidRPr="001B62E0">
        <w:rPr>
          <w:vertAlign w:val="superscript"/>
        </w:rPr>
        <w:t xml:space="preserve">о </w:t>
      </w:r>
      <w:r w:rsidRPr="00506AE4">
        <w:t>С.</w:t>
      </w:r>
    </w:p>
    <w:p w:rsidR="00506AE4" w:rsidRDefault="00506AE4" w:rsidP="008C428A">
      <w:pPr>
        <w:spacing w:after="0"/>
        <w:jc w:val="both"/>
      </w:pPr>
      <w:r w:rsidRPr="00506AE4">
        <w:t>Хранить в недоступном для детей месте</w:t>
      </w:r>
      <w:r>
        <w:t>.</w:t>
      </w:r>
    </w:p>
    <w:p w:rsidR="001B62E0" w:rsidRDefault="001B62E0" w:rsidP="008C428A">
      <w:pPr>
        <w:spacing w:after="0"/>
        <w:jc w:val="both"/>
      </w:pPr>
    </w:p>
    <w:p w:rsidR="00506AE4" w:rsidRPr="001B62E0" w:rsidRDefault="00506AE4" w:rsidP="008C428A">
      <w:pPr>
        <w:spacing w:after="0"/>
        <w:jc w:val="both"/>
        <w:rPr>
          <w:b/>
        </w:rPr>
      </w:pPr>
      <w:r w:rsidRPr="001B62E0">
        <w:rPr>
          <w:b/>
        </w:rPr>
        <w:t>Срок годности</w:t>
      </w:r>
    </w:p>
    <w:p w:rsidR="00506AE4" w:rsidRPr="00506AE4" w:rsidRDefault="00506AE4" w:rsidP="008C428A">
      <w:pPr>
        <w:spacing w:after="0"/>
        <w:jc w:val="both"/>
      </w:pPr>
      <w:r w:rsidRPr="00506AE4">
        <w:t>3 года.</w:t>
      </w:r>
    </w:p>
    <w:p w:rsidR="00506AE4" w:rsidRDefault="00506AE4" w:rsidP="008C428A">
      <w:pPr>
        <w:spacing w:after="0"/>
        <w:jc w:val="both"/>
      </w:pPr>
      <w:r w:rsidRPr="00506AE4">
        <w:t>Не применять по истечении срока годности, указанного на упаковке.</w:t>
      </w:r>
    </w:p>
    <w:p w:rsidR="001B62E0" w:rsidRDefault="001B62E0" w:rsidP="008C428A">
      <w:pPr>
        <w:spacing w:after="0"/>
        <w:jc w:val="both"/>
      </w:pPr>
    </w:p>
    <w:p w:rsidR="00506AE4" w:rsidRPr="001B62E0" w:rsidRDefault="00506AE4" w:rsidP="008C428A">
      <w:pPr>
        <w:spacing w:after="0"/>
        <w:jc w:val="both"/>
        <w:rPr>
          <w:b/>
        </w:rPr>
      </w:pPr>
      <w:r w:rsidRPr="001B62E0">
        <w:rPr>
          <w:b/>
        </w:rPr>
        <w:t>Условия отпуска</w:t>
      </w:r>
    </w:p>
    <w:p w:rsidR="00506AE4" w:rsidRDefault="00506AE4" w:rsidP="008C428A">
      <w:pPr>
        <w:spacing w:after="0"/>
        <w:jc w:val="both"/>
      </w:pPr>
      <w:r>
        <w:t>Отпускают по рецепту</w:t>
      </w:r>
    </w:p>
    <w:p w:rsidR="001B62E0" w:rsidRDefault="001B62E0" w:rsidP="008C428A">
      <w:pPr>
        <w:spacing w:after="0"/>
        <w:jc w:val="both"/>
      </w:pPr>
    </w:p>
    <w:p w:rsidR="00506AE4" w:rsidRPr="001B62E0" w:rsidRDefault="00506AE4" w:rsidP="008C428A">
      <w:pPr>
        <w:spacing w:after="0"/>
        <w:jc w:val="both"/>
        <w:rPr>
          <w:b/>
        </w:rPr>
      </w:pPr>
      <w:r w:rsidRPr="001B62E0">
        <w:rPr>
          <w:b/>
        </w:rPr>
        <w:t>Юридическое лицо, на имя которого выдано регистрационное удостоверение/Выпускающий контроль качества</w:t>
      </w:r>
    </w:p>
    <w:p w:rsidR="00733987" w:rsidRPr="00733987" w:rsidRDefault="00733987" w:rsidP="008C428A">
      <w:pPr>
        <w:spacing w:after="0"/>
        <w:jc w:val="both"/>
      </w:pPr>
      <w:r w:rsidRPr="00733987">
        <w:t>Фармакосмос А/С, Дания</w:t>
      </w:r>
    </w:p>
    <w:p w:rsidR="00733987" w:rsidRDefault="00733987" w:rsidP="008C428A">
      <w:pPr>
        <w:spacing w:after="0"/>
        <w:jc w:val="both"/>
      </w:pPr>
      <w:proofErr w:type="spellStart"/>
      <w:r w:rsidRPr="00733987">
        <w:t>Рёрвангсвей</w:t>
      </w:r>
      <w:proofErr w:type="spellEnd"/>
      <w:r w:rsidRPr="00733987">
        <w:t xml:space="preserve"> 30, </w:t>
      </w:r>
      <w:r w:rsidRPr="001B62E0">
        <w:rPr>
          <w:lang w:val="en-US"/>
        </w:rPr>
        <w:t>DK</w:t>
      </w:r>
      <w:r w:rsidRPr="001B62E0">
        <w:t>-</w:t>
      </w:r>
      <w:r w:rsidRPr="00733987">
        <w:t xml:space="preserve">4300 </w:t>
      </w:r>
      <w:proofErr w:type="spellStart"/>
      <w:r w:rsidRPr="00733987">
        <w:t>Хольбек</w:t>
      </w:r>
      <w:proofErr w:type="spellEnd"/>
      <w:r w:rsidRPr="00733987">
        <w:t>, Дания</w:t>
      </w:r>
    </w:p>
    <w:p w:rsidR="001B62E0" w:rsidRDefault="001B62E0" w:rsidP="008C428A">
      <w:pPr>
        <w:spacing w:after="0"/>
        <w:jc w:val="both"/>
      </w:pPr>
    </w:p>
    <w:p w:rsidR="00733987" w:rsidRPr="001B62E0" w:rsidRDefault="00733987" w:rsidP="008C428A">
      <w:pPr>
        <w:spacing w:after="0"/>
        <w:jc w:val="both"/>
        <w:rPr>
          <w:b/>
        </w:rPr>
      </w:pPr>
      <w:r w:rsidRPr="001B62E0">
        <w:rPr>
          <w:b/>
        </w:rPr>
        <w:t>Производители</w:t>
      </w:r>
    </w:p>
    <w:p w:rsidR="00733987" w:rsidRPr="00733987" w:rsidRDefault="00733987" w:rsidP="008C428A">
      <w:pPr>
        <w:spacing w:after="0"/>
        <w:jc w:val="both"/>
      </w:pPr>
      <w:proofErr w:type="spellStart"/>
      <w:r w:rsidRPr="00733987">
        <w:t>Солюфарм</w:t>
      </w:r>
      <w:proofErr w:type="spellEnd"/>
      <w:r w:rsidRPr="00733987">
        <w:t xml:space="preserve"> </w:t>
      </w:r>
      <w:proofErr w:type="spellStart"/>
      <w:r w:rsidRPr="00733987">
        <w:t>Фармацойтише</w:t>
      </w:r>
      <w:proofErr w:type="spellEnd"/>
      <w:r w:rsidRPr="00733987">
        <w:t xml:space="preserve"> </w:t>
      </w:r>
      <w:proofErr w:type="spellStart"/>
      <w:r w:rsidRPr="00733987">
        <w:t>Эрцойгниссе</w:t>
      </w:r>
      <w:proofErr w:type="spellEnd"/>
      <w:r w:rsidRPr="00733987">
        <w:t xml:space="preserve"> </w:t>
      </w:r>
      <w:proofErr w:type="spellStart"/>
      <w:r w:rsidRPr="00733987">
        <w:t>ГмбХ</w:t>
      </w:r>
      <w:proofErr w:type="spellEnd"/>
      <w:r w:rsidRPr="00733987">
        <w:t>, Германия</w:t>
      </w:r>
    </w:p>
    <w:p w:rsidR="00733987" w:rsidRDefault="00733987" w:rsidP="008C428A">
      <w:pPr>
        <w:spacing w:after="0"/>
        <w:jc w:val="both"/>
      </w:pPr>
      <w:proofErr w:type="spellStart"/>
      <w:r w:rsidRPr="00733987">
        <w:t>Индус</w:t>
      </w:r>
      <w:r w:rsidR="004E1CDC">
        <w:t>триштрассе</w:t>
      </w:r>
      <w:proofErr w:type="spellEnd"/>
      <w:r w:rsidR="004E1CDC">
        <w:t xml:space="preserve"> 3,34212 </w:t>
      </w:r>
      <w:proofErr w:type="spellStart"/>
      <w:r w:rsidR="004E1CDC">
        <w:t>Мельзунген</w:t>
      </w:r>
      <w:proofErr w:type="spellEnd"/>
      <w:r w:rsidR="004E1CDC">
        <w:t>, Г</w:t>
      </w:r>
      <w:r w:rsidRPr="00733987">
        <w:t>ермания</w:t>
      </w:r>
    </w:p>
    <w:p w:rsidR="001B62E0" w:rsidRPr="001B62E0" w:rsidRDefault="001B62E0" w:rsidP="008C428A">
      <w:pPr>
        <w:spacing w:after="0"/>
        <w:jc w:val="both"/>
      </w:pPr>
    </w:p>
    <w:p w:rsidR="008C428A" w:rsidRDefault="00733987" w:rsidP="008C428A">
      <w:pPr>
        <w:spacing w:after="0"/>
        <w:jc w:val="both"/>
        <w:rPr>
          <w:b/>
        </w:rPr>
      </w:pPr>
      <w:r w:rsidRPr="001B62E0">
        <w:rPr>
          <w:b/>
        </w:rPr>
        <w:t xml:space="preserve">Получить дополнительную информацию о препарате, а также направить свои претензии и информацию о нежелательных явлениях можно по следующему адресу в России: </w:t>
      </w:r>
    </w:p>
    <w:p w:rsidR="00733987" w:rsidRPr="001B62E0" w:rsidRDefault="00733987" w:rsidP="008C428A">
      <w:pPr>
        <w:spacing w:after="0"/>
        <w:jc w:val="both"/>
        <w:rPr>
          <w:b/>
        </w:rPr>
      </w:pPr>
      <w:r w:rsidRPr="00733987">
        <w:t>ООО «КОСМОФАРМ»</w:t>
      </w:r>
    </w:p>
    <w:p w:rsidR="00733987" w:rsidRDefault="00733987" w:rsidP="008C428A">
      <w:pPr>
        <w:spacing w:after="0"/>
        <w:jc w:val="both"/>
      </w:pPr>
      <w:r w:rsidRPr="00733987">
        <w:t>107076, Россия, г. Москва, ул. Стромынка, д. 19 корп</w:t>
      </w:r>
      <w:r>
        <w:t>.</w:t>
      </w:r>
      <w:r w:rsidRPr="00733987">
        <w:t xml:space="preserve"> 2</w:t>
      </w:r>
    </w:p>
    <w:p w:rsidR="00733987" w:rsidRDefault="00733987" w:rsidP="008C428A">
      <w:pPr>
        <w:spacing w:after="0"/>
        <w:jc w:val="both"/>
      </w:pPr>
      <w:r>
        <w:t>Тел. +7(495) 644-00-31</w:t>
      </w:r>
    </w:p>
    <w:p w:rsidR="00733987" w:rsidRPr="00733987" w:rsidRDefault="00733987" w:rsidP="008C428A">
      <w:pPr>
        <w:spacing w:after="0"/>
        <w:jc w:val="both"/>
      </w:pPr>
      <w:r>
        <w:t>Факс: +7(495) 644-00-32</w:t>
      </w:r>
    </w:p>
    <w:p w:rsidR="00506AE4" w:rsidRPr="00506AE4" w:rsidRDefault="00506AE4" w:rsidP="008C428A">
      <w:pPr>
        <w:pStyle w:val="a3"/>
        <w:jc w:val="both"/>
        <w:rPr>
          <w:b/>
        </w:rPr>
      </w:pPr>
    </w:p>
    <w:p w:rsidR="00506AE4" w:rsidRPr="00506AE4" w:rsidRDefault="00506AE4" w:rsidP="008C428A">
      <w:pPr>
        <w:pStyle w:val="a3"/>
        <w:jc w:val="both"/>
      </w:pPr>
    </w:p>
    <w:p w:rsidR="00774A71" w:rsidRPr="00774A71" w:rsidRDefault="00774A71" w:rsidP="000D0DCD"/>
    <w:p w:rsidR="00774A71" w:rsidRPr="00774A71" w:rsidRDefault="00774A71" w:rsidP="000D0DCD"/>
    <w:p w:rsidR="00CE5508" w:rsidRPr="00CE5508" w:rsidRDefault="00CE5508" w:rsidP="000D0DCD"/>
    <w:sectPr w:rsidR="00CE5508" w:rsidRPr="00CE5508" w:rsidSect="0067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81503"/>
    <w:multiLevelType w:val="hybridMultilevel"/>
    <w:tmpl w:val="8C12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40"/>
    <w:rsid w:val="000D0DCD"/>
    <w:rsid w:val="0012784D"/>
    <w:rsid w:val="0019178E"/>
    <w:rsid w:val="001B62E0"/>
    <w:rsid w:val="001C4B5E"/>
    <w:rsid w:val="002341F9"/>
    <w:rsid w:val="00370573"/>
    <w:rsid w:val="003B4831"/>
    <w:rsid w:val="0043763F"/>
    <w:rsid w:val="004E1CDC"/>
    <w:rsid w:val="00506AE4"/>
    <w:rsid w:val="00542178"/>
    <w:rsid w:val="00672F78"/>
    <w:rsid w:val="006B11D8"/>
    <w:rsid w:val="00733987"/>
    <w:rsid w:val="00774A71"/>
    <w:rsid w:val="008B7EA2"/>
    <w:rsid w:val="008C428A"/>
    <w:rsid w:val="00927D98"/>
    <w:rsid w:val="0095230B"/>
    <w:rsid w:val="00971FB0"/>
    <w:rsid w:val="009762B6"/>
    <w:rsid w:val="009C08DB"/>
    <w:rsid w:val="00AE4652"/>
    <w:rsid w:val="00B06740"/>
    <w:rsid w:val="00BB312F"/>
    <w:rsid w:val="00C24496"/>
    <w:rsid w:val="00C44006"/>
    <w:rsid w:val="00CA38C6"/>
    <w:rsid w:val="00CE5508"/>
    <w:rsid w:val="00D677CE"/>
    <w:rsid w:val="00D97D38"/>
    <w:rsid w:val="00DF57CF"/>
    <w:rsid w:val="00E75595"/>
    <w:rsid w:val="00EA1833"/>
    <w:rsid w:val="00F40700"/>
    <w:rsid w:val="00F66282"/>
    <w:rsid w:val="00FE2CAE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8EA9"/>
  <w15:docId w15:val="{32E70C4E-3FA7-400F-A632-ACF86529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82"/>
    <w:pPr>
      <w:ind w:left="720"/>
      <w:contextualSpacing/>
    </w:pPr>
  </w:style>
  <w:style w:type="table" w:styleId="a4">
    <w:name w:val="Table Grid"/>
    <w:basedOn w:val="a1"/>
    <w:uiPriority w:val="39"/>
    <w:rsid w:val="001B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Farafonova</dc:creator>
  <cp:keywords/>
  <dc:description/>
  <cp:lastModifiedBy>Elena Farafonova</cp:lastModifiedBy>
  <cp:revision>16</cp:revision>
  <dcterms:created xsi:type="dcterms:W3CDTF">2019-02-20T11:15:00Z</dcterms:created>
  <dcterms:modified xsi:type="dcterms:W3CDTF">2020-01-22T11:31:00Z</dcterms:modified>
</cp:coreProperties>
</file>