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56B1E" w14:textId="77777777" w:rsidR="00F230B1" w:rsidRDefault="00F5593C">
      <w:pPr>
        <w:spacing w:after="0" w:line="259" w:lineRule="auto"/>
        <w:ind w:left="10" w:right="-15" w:hanging="10"/>
        <w:jc w:val="right"/>
      </w:pPr>
      <w:r>
        <w:rPr>
          <w:sz w:val="18"/>
        </w:rPr>
        <w:t>УДК 617.7-007.681</w:t>
      </w:r>
    </w:p>
    <w:p w14:paraId="6E4B1019" w14:textId="77777777" w:rsidR="00F230B1" w:rsidRDefault="00F5593C">
      <w:pPr>
        <w:spacing w:after="216" w:line="259" w:lineRule="auto"/>
        <w:ind w:left="10" w:right="-15" w:hanging="10"/>
        <w:jc w:val="right"/>
      </w:pPr>
      <w:r>
        <w:rPr>
          <w:sz w:val="18"/>
        </w:rPr>
        <w:t>ГРНТИ 76.29.56</w:t>
      </w:r>
    </w:p>
    <w:p w14:paraId="50B583BF" w14:textId="77777777" w:rsidR="00F230B1" w:rsidRDefault="00F5593C">
      <w:pPr>
        <w:pStyle w:val="1"/>
        <w:tabs>
          <w:tab w:val="right" w:pos="10205"/>
        </w:tabs>
      </w:pPr>
      <w:r>
        <w:t>ОЦенка гипОтензивнОгО эффекта препарата «глаумакс»</w:t>
      </w:r>
      <w:r>
        <w:tab/>
      </w:r>
      <w:r>
        <w:rPr>
          <w:rFonts w:ascii="Times New Roman" w:eastAsia="Times New Roman" w:hAnsi="Times New Roman" w:cs="Times New Roman"/>
          <w:b w:val="0"/>
          <w:vertAlign w:val="superscript"/>
        </w:rPr>
        <w:t>ВАК 14.01.07</w:t>
      </w:r>
    </w:p>
    <w:p w14:paraId="5E8C092E" w14:textId="77777777" w:rsidR="00F230B1" w:rsidRDefault="00F5593C">
      <w:pPr>
        <w:spacing w:after="63" w:line="259" w:lineRule="auto"/>
        <w:ind w:firstLine="0"/>
        <w:jc w:val="left"/>
      </w:pPr>
      <w:r>
        <w:rPr>
          <w:b/>
          <w:i/>
          <w:sz w:val="24"/>
        </w:rPr>
        <w:t>© Ю. С. Астахов</w:t>
      </w:r>
      <w:r>
        <w:rPr>
          <w:b/>
          <w:i/>
          <w:vertAlign w:val="superscript"/>
        </w:rPr>
        <w:t xml:space="preserve"> 1</w:t>
      </w:r>
      <w:r>
        <w:rPr>
          <w:b/>
          <w:i/>
          <w:sz w:val="24"/>
        </w:rPr>
        <w:t>, В. О. Соколов</w:t>
      </w:r>
      <w:r>
        <w:rPr>
          <w:b/>
          <w:i/>
          <w:vertAlign w:val="superscript"/>
        </w:rPr>
        <w:t xml:space="preserve"> 2</w:t>
      </w:r>
      <w:r>
        <w:rPr>
          <w:b/>
          <w:i/>
          <w:sz w:val="24"/>
        </w:rPr>
        <w:t>, Н. В. Морозова</w:t>
      </w:r>
      <w:r>
        <w:rPr>
          <w:b/>
          <w:i/>
          <w:vertAlign w:val="superscript"/>
        </w:rPr>
        <w:t xml:space="preserve"> 2</w:t>
      </w:r>
      <w:r>
        <w:rPr>
          <w:b/>
          <w:i/>
          <w:sz w:val="24"/>
        </w:rPr>
        <w:t>, д. П. Новиков</w:t>
      </w:r>
      <w:r>
        <w:rPr>
          <w:b/>
          <w:i/>
          <w:vertAlign w:val="superscript"/>
        </w:rPr>
        <w:t xml:space="preserve"> 2</w:t>
      </w:r>
    </w:p>
    <w:p w14:paraId="3D491EE6" w14:textId="77777777" w:rsidR="00F230B1" w:rsidRDefault="00F5593C">
      <w:pPr>
        <w:numPr>
          <w:ilvl w:val="0"/>
          <w:numId w:val="1"/>
        </w:numPr>
        <w:ind w:right="37" w:hanging="89"/>
      </w:pPr>
      <w:r>
        <w:t>Кафедра офтальмологии с клиникой СПбГМУ им. И.П. Павлова, Санкт-Петербург;</w:t>
      </w:r>
    </w:p>
    <w:p w14:paraId="39333AB1" w14:textId="77777777" w:rsidR="00F230B1" w:rsidRDefault="00F5593C">
      <w:pPr>
        <w:numPr>
          <w:ilvl w:val="0"/>
          <w:numId w:val="1"/>
        </w:numPr>
        <w:ind w:right="37" w:hanging="89"/>
      </w:pPr>
      <w:r>
        <w:t>СПБ ГБУЗ Диагностический центр № 7 (глазной), Санкт-Петербург</w:t>
      </w:r>
    </w:p>
    <w:p w14:paraId="7D5F69AB" w14:textId="77777777" w:rsidR="00F230B1" w:rsidRDefault="00F5593C">
      <w:pPr>
        <w:spacing w:after="111" w:line="259" w:lineRule="auto"/>
        <w:ind w:firstLine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7CC821C" wp14:editId="3BA8306F">
                <wp:extent cx="6479999" cy="16929"/>
                <wp:effectExtent l="0" t="0" r="0" b="0"/>
                <wp:docPr id="5069" name="Group 5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9" cy="16929"/>
                          <a:chOff x="0" y="0"/>
                          <a:chExt cx="6479999" cy="16929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4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7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" y="16929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4242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69" style="width:510.236pt;height:1.33301pt;mso-position-horizontal-relative:char;mso-position-vertical-relative:line" coordsize="64799,169">
                <v:shape id="Shape 25" style="position:absolute;width:64799;height:0;left:0;top:0;" coordsize="6479997,0" path="m0,0l6479997,0">
                  <v:stroke weight="1pt" endcap="flat" joinstyle="miter" miterlimit="4" on="true" color="#181717"/>
                  <v:fill on="false" color="#000000" opacity="0"/>
                </v:shape>
                <v:shape id="Shape 26" style="position:absolute;width:64799;height:0;left:0;top:169;" coordsize="6479998,0" path="m0,0l6479998,0">
                  <v:stroke weight="0.334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5065CF5D" w14:textId="77777777" w:rsidR="00F230B1" w:rsidRDefault="00F5593C">
      <w:pPr>
        <w:spacing w:after="115" w:line="249" w:lineRule="auto"/>
        <w:ind w:left="170" w:right="169" w:firstLine="0"/>
      </w:pPr>
      <w:proofErr w:type="gramStart"/>
      <w:r>
        <w:rPr>
          <w:rFonts w:ascii="Segoe UI Symbol" w:eastAsia="Segoe UI Symbol" w:hAnsi="Segoe UI Symbol" w:cs="Segoe UI Symbol"/>
        </w:rPr>
        <w:t xml:space="preserve">G </w:t>
      </w:r>
      <w:r>
        <w:rPr>
          <w:b/>
        </w:rPr>
        <w:t>При</w:t>
      </w:r>
      <w:proofErr w:type="gramEnd"/>
      <w:r>
        <w:rPr>
          <w:b/>
        </w:rPr>
        <w:t xml:space="preserve"> выборе препарата врач должен быть уверен в эффективности препарата и его безопасности для пациента. Проведение </w:t>
      </w:r>
      <w:r>
        <w:rPr>
          <w:b/>
        </w:rPr>
        <w:t>многочисленных постклинических исследований различных аспектов применения лекарственных средств призвано помочь клиницистам правильно оценивать возможности предлагаемых препаратов. Цель данного исследования оценить гипотензивный эффект препарата латанопрос</w:t>
      </w:r>
      <w:r>
        <w:rPr>
          <w:b/>
        </w:rPr>
        <w:t xml:space="preserve">та 0,005 % — препарат «ГЛАУМАКС» по данным различных методов тонометрии при различном исходном уровне ВГД. Сравнить гипотензивный эффект тимолола 0,5 % и препарата «ГЛАУМАКС». Гипотензивный эффект </w:t>
      </w:r>
      <w:proofErr w:type="gramStart"/>
      <w:r>
        <w:rPr>
          <w:b/>
        </w:rPr>
        <w:t>в группе</w:t>
      </w:r>
      <w:proofErr w:type="gramEnd"/>
      <w:r>
        <w:rPr>
          <w:b/>
        </w:rPr>
        <w:t xml:space="preserve"> получавшей «Глаумакс» достоверно превышает таковой</w:t>
      </w:r>
      <w:r>
        <w:rPr>
          <w:b/>
        </w:rPr>
        <w:t xml:space="preserve"> в группе получавшей тимолол 0,5 % независимо от варианта измерения внутриглазного давления, при сопоставимом исходном уровне офтальмотонуса. В группе с более высоким исходным уровнем офтальмотонуса снижение ВГД в % от исходного было выше. Средний гипотенз</w:t>
      </w:r>
      <w:r>
        <w:rPr>
          <w:b/>
        </w:rPr>
        <w:t>ивный эффект для препарата «Глаумакс» в данном исследовании сопоставим с данными многоцентровых исследований и метаанализов проведенных для оригинального препарата «Ксалатан».</w:t>
      </w:r>
    </w:p>
    <w:p w14:paraId="6CD10191" w14:textId="77777777" w:rsidR="00F230B1" w:rsidRDefault="00F5593C">
      <w:pPr>
        <w:ind w:left="170" w:right="37" w:firstLine="0"/>
      </w:pPr>
      <w:r>
        <w:rPr>
          <w:rFonts w:ascii="Segoe UI Symbol" w:eastAsia="Segoe UI Symbol" w:hAnsi="Segoe UI Symbol" w:cs="Segoe UI Symbol"/>
        </w:rPr>
        <w:t xml:space="preserve">G </w:t>
      </w:r>
      <w:r>
        <w:rPr>
          <w:b/>
          <w:i/>
        </w:rPr>
        <w:t xml:space="preserve">Ключевые слова: </w:t>
      </w:r>
      <w:r>
        <w:t xml:space="preserve">аналоги простагландинов; Глаумакс; Ксалатан; I-care; тонометр </w:t>
      </w:r>
      <w:r>
        <w:t>Pascal; генерические аналоги простагландинов.</w:t>
      </w:r>
    </w:p>
    <w:p w14:paraId="29360F43" w14:textId="77777777" w:rsidR="00F230B1" w:rsidRDefault="00F5593C">
      <w:pPr>
        <w:spacing w:after="0" w:line="259" w:lineRule="auto"/>
        <w:ind w:firstLine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E56D802" wp14:editId="24A99BB8">
                <wp:extent cx="6479999" cy="16930"/>
                <wp:effectExtent l="0" t="0" r="0" b="0"/>
                <wp:docPr id="5070" name="Group 5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9" cy="16930"/>
                          <a:chOff x="0" y="0"/>
                          <a:chExt cx="6479999" cy="16930"/>
                        </a:xfrm>
                      </wpg:grpSpPr>
                      <wps:wsp>
                        <wps:cNvPr id="27" name="Shape 27"/>
                        <wps:cNvSpPr/>
                        <wps:spPr>
                          <a:xfrm>
                            <a:off x="1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4242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6930"/>
                            <a:ext cx="64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7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70" style="width:510.236pt;height:1.3331pt;mso-position-horizontal-relative:char;mso-position-vertical-relative:line" coordsize="64799,169">
                <v:shape id="Shape 27" style="position:absolute;width:64799;height:0;left:0;top:0;" coordsize="6479998,0" path="m0,0l6479998,0">
                  <v:stroke weight="0.334pt" endcap="flat" joinstyle="miter" miterlimit="4" on="true" color="#181717"/>
                  <v:fill on="false" color="#000000" opacity="0"/>
                </v:shape>
                <v:shape id="Shape 28" style="position:absolute;width:64799;height:0;left:0;top:169;" coordsize="6479997,0" path="m0,0l6479997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19F45349" w14:textId="77777777" w:rsidR="00F230B1" w:rsidRDefault="00F230B1">
      <w:pPr>
        <w:sectPr w:rsidR="00F230B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189" w:h="17008"/>
          <w:pgMar w:top="1306" w:right="850" w:bottom="1372" w:left="1134" w:header="720" w:footer="720" w:gutter="0"/>
          <w:pgNumType w:start="75"/>
          <w:cols w:space="720"/>
        </w:sectPr>
      </w:pPr>
    </w:p>
    <w:p w14:paraId="4D2BD81B" w14:textId="77777777" w:rsidR="00F230B1" w:rsidRDefault="00F5593C">
      <w:pPr>
        <w:pStyle w:val="2"/>
      </w:pPr>
      <w:r>
        <w:t>актуальнОсть</w:t>
      </w:r>
    </w:p>
    <w:p w14:paraId="260E73AE" w14:textId="77777777" w:rsidR="00F230B1" w:rsidRDefault="00F5593C">
      <w:pPr>
        <w:spacing w:after="263"/>
        <w:ind w:left="284" w:right="37"/>
      </w:pPr>
      <w:r>
        <w:t>Медикаментозная гипотензивная терапия занимает важнейшее место в лечении глаукомы. Согласно большинству клинических рекомендаций и руководств препараты из группы аналогов простагландинов занимают первое место среди местных гипотензивных препаратов. За посл</w:t>
      </w:r>
      <w:r>
        <w:t>едние годы препараты этой группы неуклонно увеличивают свою долю среди гипотензивных средств. Отчасти это связано с появлением генерических аналогов простагландинов на Российском фармакологическом рынке. Снижение стоимости препаратов ведет к повышению дост</w:t>
      </w:r>
      <w:r>
        <w:t xml:space="preserve">упности лечения. Однако, для практикующего офтальмолога вопрос выбора конкретного препарата усложняется. При выборе препарата врач должен быть уверен в эффективности препарата и его безопасности для пациента. Отдельные фармакологические компании предлагая </w:t>
      </w:r>
      <w:r>
        <w:t xml:space="preserve">свой вариант лекарственного средства ссылаются </w:t>
      </w:r>
      <w:proofErr w:type="gramStart"/>
      <w:r>
        <w:t>на исследования</w:t>
      </w:r>
      <w:proofErr w:type="gramEnd"/>
      <w:r>
        <w:t xml:space="preserve"> проведенные для оригинального препарата. Такой подход некорректен, так как особенности производственного цикла, содержание вспомогательных компонентов во флаконе не совпадают, а это может влият</w:t>
      </w:r>
      <w:r>
        <w:t xml:space="preserve">ь и на гипотензивную эффективность </w:t>
      </w:r>
      <w:proofErr w:type="gramStart"/>
      <w:r>
        <w:t>препарата</w:t>
      </w:r>
      <w:proofErr w:type="gramEnd"/>
      <w:r>
        <w:t xml:space="preserve"> и на переносимость лечения, и частоту побочных </w:t>
      </w:r>
      <w:r>
        <w:t>эффектов. Радикальным решением проблемы было бы проведение многоцентровых рандомизированных исследований, однако, это дорогостоящие и организационно сложные меропри</w:t>
      </w:r>
      <w:r>
        <w:t>ятия. Проведение многочисленных постклинических исследований различных аспектов применения лекарственных средств призвано помочь клиницистам правильно оценивать возможности предлагаемых препаратов.</w:t>
      </w:r>
    </w:p>
    <w:p w14:paraId="137894F5" w14:textId="77777777" w:rsidR="00F230B1" w:rsidRDefault="00F5593C">
      <w:pPr>
        <w:pStyle w:val="2"/>
        <w:ind w:left="-5"/>
      </w:pPr>
      <w:r>
        <w:t>Цель рабОты</w:t>
      </w:r>
    </w:p>
    <w:p w14:paraId="13F73E11" w14:textId="77777777" w:rsidR="00F230B1" w:rsidRDefault="00F5593C">
      <w:pPr>
        <w:spacing w:after="263"/>
        <w:ind w:left="-14" w:right="37"/>
      </w:pPr>
      <w:r>
        <w:t>Цель данного исследования оценить гипотензивны</w:t>
      </w:r>
      <w:r>
        <w:t>й эффект препарата латанопроста 0,005 % — препарат «ГЛАУМАКС» по данным различных методов тонометрии при различном исходном уровне ВГД. Сравнить гипотензивный эффект тимолола 0,5 % и препарата «ГЛАУМАКС».</w:t>
      </w:r>
    </w:p>
    <w:p w14:paraId="0F14DB75" w14:textId="77777777" w:rsidR="00F230B1" w:rsidRDefault="00F5593C">
      <w:pPr>
        <w:pStyle w:val="2"/>
        <w:ind w:left="-5"/>
      </w:pPr>
      <w:r>
        <w:t>материалы и метОды</w:t>
      </w:r>
    </w:p>
    <w:p w14:paraId="2E33E3B5" w14:textId="77777777" w:rsidR="00F230B1" w:rsidRDefault="00F5593C">
      <w:pPr>
        <w:ind w:left="-14" w:right="37"/>
      </w:pPr>
      <w:r>
        <w:t xml:space="preserve">В исследование вошли пациенты с </w:t>
      </w:r>
      <w:r>
        <w:t>первичной открытоугольной глаукомой I–II стадии. Критерии включения — возраст старше 18 лет, диагноз ПОУГ I–II стадии в одном или обоих глазах, острота зрения не ниже 0,3.</w:t>
      </w:r>
    </w:p>
    <w:p w14:paraId="17B3662E" w14:textId="77777777" w:rsidR="00F230B1" w:rsidRDefault="00F5593C">
      <w:pPr>
        <w:ind w:left="-14" w:right="37"/>
      </w:pPr>
      <w:r>
        <w:t xml:space="preserve">Критерии исключения — индивидуальная непереносимость аналогов простагландинов, </w:t>
      </w:r>
      <w:r>
        <w:lastRenderedPageBreak/>
        <w:t>воспа</w:t>
      </w:r>
      <w:r>
        <w:t xml:space="preserve">лительные заболевания глаза и придаточного аппарата, гипотония (по данным мониторинга АД), брадикардия, бронхиальная астма и другие виды соматической патологии, исключающие местное применение неселективных </w:t>
      </w:r>
      <w:r>
        <w:t>β</w:t>
      </w:r>
      <w:r>
        <w:t>-блокаторов. Гипертоническая болезнь, системное п</w:t>
      </w:r>
      <w:r>
        <w:t xml:space="preserve">рименение </w:t>
      </w:r>
      <w:r>
        <w:t>β</w:t>
      </w:r>
      <w:r>
        <w:t>-адреноблокаторов и гипотензивных препаратов, фильтрационная операция или иные глазные операции включая лазерные.</w:t>
      </w:r>
    </w:p>
    <w:tbl>
      <w:tblPr>
        <w:tblStyle w:val="TableGrid"/>
        <w:tblpPr w:vertAnchor="text" w:horzAnchor="margin"/>
        <w:tblOverlap w:val="never"/>
        <w:tblW w:w="10257" w:type="dxa"/>
        <w:tblInd w:w="0" w:type="dxa"/>
        <w:tblCellMar>
          <w:top w:w="0" w:type="dxa"/>
          <w:left w:w="1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10264"/>
      </w:tblGrid>
      <w:tr w:rsidR="00F230B1" w14:paraId="0FE4309E" w14:textId="77777777">
        <w:trPr>
          <w:trHeight w:val="1049"/>
        </w:trPr>
        <w:tc>
          <w:tcPr>
            <w:tcW w:w="10213" w:type="dxa"/>
            <w:tcBorders>
              <w:top w:val="nil"/>
              <w:left w:val="nil"/>
              <w:bottom w:val="nil"/>
              <w:right w:val="nil"/>
            </w:tcBorders>
          </w:tcPr>
          <w:p w14:paraId="5863BADE" w14:textId="77777777" w:rsidR="00F230B1" w:rsidRDefault="00F5593C">
            <w:pPr>
              <w:tabs>
                <w:tab w:val="right" w:pos="10213"/>
              </w:tabs>
              <w:spacing w:after="32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  <w:u w:val="single" w:color="181717"/>
              </w:rPr>
              <w:t>76</w:t>
            </w:r>
            <w:r>
              <w:rPr>
                <w:rFonts w:ascii="Calibri" w:eastAsia="Calibri" w:hAnsi="Calibri" w:cs="Calibri"/>
                <w:b/>
                <w:sz w:val="20"/>
                <w:u w:val="single" w:color="181717"/>
              </w:rPr>
              <w:tab/>
              <w:t>вОпрОсы ОфтальмОфармакОлОгии</w:t>
            </w:r>
          </w:p>
          <w:p w14:paraId="0504AD6B" w14:textId="77777777" w:rsidR="00F230B1" w:rsidRDefault="00F5593C">
            <w:pPr>
              <w:spacing w:after="0" w:line="259" w:lineRule="auto"/>
              <w:ind w:firstLine="9396"/>
            </w:pPr>
            <w:r>
              <w:rPr>
                <w:i/>
                <w:sz w:val="18"/>
              </w:rPr>
              <w:t xml:space="preserve">Таблица 1 </w:t>
            </w:r>
            <w:r>
              <w:rPr>
                <w:b/>
                <w:sz w:val="18"/>
              </w:rPr>
              <w:t>Сравнение препарата «Глаумакс» с оригинальным препаратом «Ксалатан»</w:t>
            </w:r>
          </w:p>
          <w:tbl>
            <w:tblPr>
              <w:tblStyle w:val="TableGrid"/>
              <w:tblW w:w="10205" w:type="dxa"/>
              <w:tblInd w:w="5" w:type="dxa"/>
              <w:tblCellMar>
                <w:top w:w="31" w:type="dxa"/>
                <w:left w:w="57" w:type="dxa"/>
                <w:bottom w:w="0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3628"/>
              <w:gridCol w:w="3288"/>
              <w:gridCol w:w="3289"/>
            </w:tblGrid>
            <w:tr w:rsidR="00F230B1" w14:paraId="1288319F" w14:textId="77777777">
              <w:trPr>
                <w:trHeight w:val="283"/>
              </w:trPr>
              <w:tc>
                <w:tcPr>
                  <w:tcW w:w="3628" w:type="dxa"/>
                  <w:tcBorders>
                    <w:top w:val="single" w:sz="8" w:space="0" w:color="181717"/>
                    <w:left w:val="single" w:sz="4" w:space="0" w:color="181717"/>
                    <w:bottom w:val="single" w:sz="8" w:space="0" w:color="181717"/>
                    <w:right w:val="single" w:sz="4" w:space="0" w:color="181717"/>
                  </w:tcBorders>
                </w:tcPr>
                <w:p w14:paraId="1F7DA263" w14:textId="77777777" w:rsidR="00F230B1" w:rsidRDefault="00F230B1">
                  <w:pPr>
                    <w:framePr w:wrap="around" w:vAnchor="text" w:hAnchor="margin"/>
                    <w:spacing w:after="160" w:line="259" w:lineRule="auto"/>
                    <w:ind w:firstLine="0"/>
                    <w:suppressOverlap/>
                    <w:jc w:val="left"/>
                  </w:pPr>
                </w:p>
              </w:tc>
              <w:tc>
                <w:tcPr>
                  <w:tcW w:w="3288" w:type="dxa"/>
                  <w:tcBorders>
                    <w:top w:val="single" w:sz="8" w:space="0" w:color="181717"/>
                    <w:left w:val="single" w:sz="4" w:space="0" w:color="181717"/>
                    <w:bottom w:val="single" w:sz="8" w:space="0" w:color="181717"/>
                    <w:right w:val="single" w:sz="4" w:space="0" w:color="181717"/>
                  </w:tcBorders>
                </w:tcPr>
                <w:p w14:paraId="31CB7281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firstLine="0"/>
                    <w:suppressOverlap/>
                    <w:jc w:val="center"/>
                  </w:pPr>
                  <w:r>
                    <w:rPr>
                      <w:sz w:val="18"/>
                    </w:rPr>
                    <w:t>«ГЛАУМАКС»</w:t>
                  </w:r>
                </w:p>
              </w:tc>
              <w:tc>
                <w:tcPr>
                  <w:tcW w:w="3288" w:type="dxa"/>
                  <w:tcBorders>
                    <w:top w:val="single" w:sz="8" w:space="0" w:color="181717"/>
                    <w:left w:val="single" w:sz="4" w:space="0" w:color="181717"/>
                    <w:bottom w:val="single" w:sz="8" w:space="0" w:color="181717"/>
                    <w:right w:val="single" w:sz="4" w:space="0" w:color="181717"/>
                  </w:tcBorders>
                </w:tcPr>
                <w:p w14:paraId="64F47DBA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firstLine="0"/>
                    <w:suppressOverlap/>
                    <w:jc w:val="center"/>
                  </w:pPr>
                  <w:r>
                    <w:rPr>
                      <w:sz w:val="18"/>
                    </w:rPr>
                    <w:t>«</w:t>
                  </w:r>
                  <w:proofErr w:type="gramStart"/>
                  <w:r>
                    <w:rPr>
                      <w:sz w:val="18"/>
                    </w:rPr>
                    <w:t>КСАЛАТАН»*</w:t>
                  </w:r>
                  <w:proofErr w:type="gramEnd"/>
                </w:p>
              </w:tc>
            </w:tr>
            <w:tr w:rsidR="00F230B1" w14:paraId="741DFA5E" w14:textId="77777777">
              <w:trPr>
                <w:trHeight w:val="683"/>
              </w:trPr>
              <w:tc>
                <w:tcPr>
                  <w:tcW w:w="3628" w:type="dxa"/>
                  <w:tcBorders>
                    <w:top w:val="single" w:sz="8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0DE46D91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firstLine="0"/>
                    <w:suppressOverlap/>
                    <w:jc w:val="center"/>
                  </w:pPr>
                  <w:r>
                    <w:rPr>
                      <w:sz w:val="18"/>
                    </w:rPr>
                    <w:t>Производитель</w:t>
                  </w:r>
                </w:p>
              </w:tc>
              <w:tc>
                <w:tcPr>
                  <w:tcW w:w="3288" w:type="dxa"/>
                  <w:tcBorders>
                    <w:top w:val="single" w:sz="8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F4C0E20" w14:textId="77777777" w:rsidR="00F230B1" w:rsidRDefault="00F5593C">
                  <w:pPr>
                    <w:framePr w:wrap="around" w:vAnchor="text" w:hAnchor="margin"/>
                    <w:spacing w:after="0" w:line="249" w:lineRule="auto"/>
                    <w:ind w:left="6" w:firstLine="0"/>
                    <w:suppressOverlap/>
                    <w:jc w:val="center"/>
                  </w:pPr>
                  <w:r>
                    <w:rPr>
                      <w:sz w:val="18"/>
                    </w:rPr>
                    <w:t xml:space="preserve">АО «Кевельт» Эстонская республика для ОАО «Фармсинтез» Российская </w:t>
                  </w:r>
                </w:p>
                <w:p w14:paraId="73C688CF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firstLine="0"/>
                    <w:suppressOverlap/>
                    <w:jc w:val="center"/>
                  </w:pPr>
                  <w:r>
                    <w:rPr>
                      <w:sz w:val="18"/>
                    </w:rPr>
                    <w:t>федерация</w:t>
                  </w:r>
                </w:p>
              </w:tc>
              <w:tc>
                <w:tcPr>
                  <w:tcW w:w="3288" w:type="dxa"/>
                  <w:tcBorders>
                    <w:top w:val="single" w:sz="8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227B6D54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22" w:firstLine="0"/>
                    <w:suppressOverlap/>
                  </w:pPr>
                  <w:r>
                    <w:rPr>
                      <w:sz w:val="18"/>
                    </w:rPr>
                    <w:t>«Пфайзер МФГ Бельгия Н. В.» Бельгия</w:t>
                  </w:r>
                </w:p>
              </w:tc>
            </w:tr>
            <w:tr w:rsidR="00F230B1" w14:paraId="126220FA" w14:textId="77777777">
              <w:trPr>
                <w:trHeight w:val="255"/>
              </w:trPr>
              <w:tc>
                <w:tcPr>
                  <w:tcW w:w="362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D1AD399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firstLine="0"/>
                    <w:suppressOverlap/>
                    <w:jc w:val="center"/>
                  </w:pPr>
                  <w:r>
                    <w:rPr>
                      <w:sz w:val="18"/>
                    </w:rPr>
                    <w:t>Латанопрост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9345A57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firstLine="0"/>
                    <w:suppressOverlap/>
                    <w:jc w:val="center"/>
                  </w:pPr>
                  <w:r>
                    <w:rPr>
                      <w:sz w:val="18"/>
                    </w:rPr>
                    <w:t>50 мкг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87A9990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>50 мкг</w:t>
                  </w:r>
                </w:p>
              </w:tc>
            </w:tr>
            <w:tr w:rsidR="00F230B1" w14:paraId="0358B79B" w14:textId="77777777">
              <w:trPr>
                <w:trHeight w:val="493"/>
              </w:trPr>
              <w:tc>
                <w:tcPr>
                  <w:tcW w:w="362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997CD71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990" w:right="948" w:firstLine="0"/>
                    <w:suppressOverlap/>
                    <w:jc w:val="center"/>
                  </w:pPr>
                  <w:r>
                    <w:rPr>
                      <w:sz w:val="18"/>
                    </w:rPr>
                    <w:t>Бензалконий хлорид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2FB151DA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firstLine="0"/>
                    <w:suppressOverlap/>
                    <w:jc w:val="center"/>
                  </w:pPr>
                  <w:r>
                    <w:rPr>
                      <w:sz w:val="18"/>
                    </w:rPr>
                    <w:t>0.2 мг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409DDDF4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firstLine="0"/>
                    <w:suppressOverlap/>
                    <w:jc w:val="center"/>
                  </w:pPr>
                  <w:r>
                    <w:rPr>
                      <w:sz w:val="18"/>
                    </w:rPr>
                    <w:t>+</w:t>
                  </w:r>
                </w:p>
              </w:tc>
            </w:tr>
            <w:tr w:rsidR="00F230B1" w14:paraId="2D63987D" w14:textId="77777777">
              <w:trPr>
                <w:trHeight w:val="493"/>
              </w:trPr>
              <w:tc>
                <w:tcPr>
                  <w:tcW w:w="362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D88603D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205" w:right="1163" w:firstLine="0"/>
                    <w:suppressOverlap/>
                    <w:jc w:val="center"/>
                  </w:pPr>
                  <w:r>
                    <w:rPr>
                      <w:sz w:val="18"/>
                    </w:rPr>
                    <w:t>Натрия хлорид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73E1076F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>5.69 мг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1AE71028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>+</w:t>
                  </w:r>
                </w:p>
              </w:tc>
            </w:tr>
            <w:tr w:rsidR="00F230B1" w14:paraId="6D9CA307" w14:textId="77777777">
              <w:trPr>
                <w:trHeight w:val="493"/>
              </w:trPr>
              <w:tc>
                <w:tcPr>
                  <w:tcW w:w="362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0DDB199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522" w:right="479" w:firstLine="0"/>
                    <w:suppressOverlap/>
                    <w:jc w:val="center"/>
                  </w:pPr>
                  <w:r>
                    <w:rPr>
                      <w:sz w:val="18"/>
                    </w:rPr>
                    <w:t xml:space="preserve">Натрия дигидрофосфат дигидрат 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33F331A5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>3.98 мг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13C45279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>-</w:t>
                  </w:r>
                </w:p>
              </w:tc>
            </w:tr>
            <w:tr w:rsidR="00F230B1" w14:paraId="496D56D0" w14:textId="77777777">
              <w:trPr>
                <w:trHeight w:val="493"/>
              </w:trPr>
              <w:tc>
                <w:tcPr>
                  <w:tcW w:w="362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D2730CA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417" w:right="374" w:firstLine="0"/>
                    <w:suppressOverlap/>
                    <w:jc w:val="center"/>
                  </w:pPr>
                  <w:r>
                    <w:rPr>
                      <w:sz w:val="18"/>
                    </w:rPr>
                    <w:t>Натрия дигидрофосфат моногидрат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538788ED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>-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119CDA3F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>+</w:t>
                  </w:r>
                </w:p>
              </w:tc>
            </w:tr>
            <w:tr w:rsidR="00F230B1" w14:paraId="6A3C5ED4" w14:textId="77777777">
              <w:trPr>
                <w:trHeight w:val="493"/>
              </w:trPr>
              <w:tc>
                <w:tcPr>
                  <w:tcW w:w="362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2A83EAF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450" w:right="407" w:firstLine="0"/>
                    <w:suppressOverlap/>
                    <w:jc w:val="center"/>
                  </w:pPr>
                  <w:r>
                    <w:rPr>
                      <w:sz w:val="18"/>
                    </w:rPr>
                    <w:t>Динатрия гидрофосфат безводный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0B79803E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>3.48 мг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4F3974A3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>+</w:t>
                  </w:r>
                </w:p>
              </w:tc>
            </w:tr>
            <w:tr w:rsidR="00F230B1" w14:paraId="59007CFC" w14:textId="77777777">
              <w:trPr>
                <w:trHeight w:val="255"/>
              </w:trPr>
              <w:tc>
                <w:tcPr>
                  <w:tcW w:w="362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90EE2D4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 xml:space="preserve">Вода для инъекций 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B20A380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>До 1 мл</w:t>
                  </w:r>
                </w:p>
              </w:tc>
              <w:tc>
                <w:tcPr>
                  <w:tcW w:w="328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E2D4016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left="1" w:firstLine="0"/>
                    <w:suppressOverlap/>
                    <w:jc w:val="center"/>
                  </w:pPr>
                  <w:r>
                    <w:rPr>
                      <w:sz w:val="18"/>
                    </w:rPr>
                    <w:t>+</w:t>
                  </w:r>
                </w:p>
              </w:tc>
            </w:tr>
            <w:tr w:rsidR="00F230B1" w14:paraId="403B9254" w14:textId="77777777">
              <w:trPr>
                <w:trHeight w:val="510"/>
              </w:trPr>
              <w:tc>
                <w:tcPr>
                  <w:tcW w:w="10205" w:type="dxa"/>
                  <w:gridSpan w:val="3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2C7A618" w14:textId="77777777" w:rsidR="00F230B1" w:rsidRDefault="00F5593C">
                  <w:pPr>
                    <w:framePr w:wrap="around" w:vAnchor="text" w:hAnchor="margin"/>
                    <w:spacing w:after="0" w:line="259" w:lineRule="auto"/>
                    <w:ind w:firstLine="0"/>
                    <w:suppressOverlap/>
                    <w:jc w:val="left"/>
                  </w:pPr>
                  <w:r>
                    <w:rPr>
                      <w:sz w:val="18"/>
                    </w:rPr>
                    <w:t>* — данные приведены по инструкциям к препаратам и для препарата «Ксалатан» не содержат информации по содержанию вспомогательных веществ только наличие их в составе препарата</w:t>
                  </w:r>
                </w:p>
              </w:tc>
            </w:tr>
          </w:tbl>
          <w:p w14:paraId="48696F6B" w14:textId="77777777" w:rsidR="00F230B1" w:rsidRDefault="00F230B1">
            <w:pPr>
              <w:spacing w:after="160" w:line="259" w:lineRule="auto"/>
              <w:ind w:firstLine="0"/>
              <w:jc w:val="left"/>
            </w:pPr>
          </w:p>
        </w:tc>
      </w:tr>
    </w:tbl>
    <w:p w14:paraId="4029E195" w14:textId="77777777" w:rsidR="00F230B1" w:rsidRDefault="00F5593C">
      <w:pPr>
        <w:ind w:left="-14" w:right="37"/>
      </w:pPr>
      <w:r>
        <w:t>На этапе включения для верификации диагноза проводилось рутинное обследование, HRT ДЗН, компьютерная периметрия, пахиметрия. Оценивался соматический статус пациентов по данным анамнеза и контролю АД и ЧСС на приеме. Определялись показатели офтальмотонуса б</w:t>
      </w:r>
      <w:r>
        <w:t>ез гипотензивной терапии (после 3 недель отмывки): ВГД по Маклакову, контурная динамическая тонометрия (тонометром Pascal производитель SMT Swiss Microtechnology, Швейцария), тонометрия тонометром I-care (производитель Tiolat Oy, Финляндия). Измерение внут</w:t>
      </w:r>
      <w:r>
        <w:t>риглазного давления выполнялось во всех случаях в 11.00 ± 20 минут.</w:t>
      </w:r>
    </w:p>
    <w:p w14:paraId="21BFF636" w14:textId="77777777" w:rsidR="00F230B1" w:rsidRDefault="00F5593C">
      <w:pPr>
        <w:ind w:left="284" w:right="37" w:firstLine="0"/>
      </w:pPr>
      <w:r>
        <w:t>Пациенты были разделены на три группы:</w:t>
      </w:r>
    </w:p>
    <w:p w14:paraId="5C552A5E" w14:textId="77777777" w:rsidR="00F230B1" w:rsidRDefault="00F5593C">
      <w:pPr>
        <w:ind w:left="-14" w:right="37"/>
      </w:pPr>
      <w:r>
        <w:t>В первую группу вошли 39 пациентов (70 глаз) 24 женщины и 15 мужчин средний возраст составил 64 года. Средняя площадь ДЗН 2,13 мм</w:t>
      </w:r>
      <w:r>
        <w:rPr>
          <w:sz w:val="20"/>
          <w:vertAlign w:val="superscript"/>
        </w:rPr>
        <w:t>2</w:t>
      </w:r>
      <w:r>
        <w:t xml:space="preserve">, Среднее значение </w:t>
      </w:r>
      <w:r>
        <w:t>MD = –2,64 dB. Исходный уровень ВГД (по данным нескольких измерений по Маклакову) от 26 до 32 мм рт. ст.</w:t>
      </w:r>
    </w:p>
    <w:p w14:paraId="4A472D31" w14:textId="77777777" w:rsidR="00F230B1" w:rsidRDefault="00F5593C">
      <w:pPr>
        <w:ind w:left="-14" w:right="37"/>
      </w:pPr>
      <w:r>
        <w:t xml:space="preserve">Во вторую группу вошли 33 пациента (61 глаз) 19 женщин и 14 мужчин средний возраст составил </w:t>
      </w:r>
    </w:p>
    <w:p w14:paraId="279D90DC" w14:textId="77777777" w:rsidR="00F230B1" w:rsidRDefault="00F5593C">
      <w:pPr>
        <w:ind w:left="-14" w:right="37" w:firstLine="0"/>
      </w:pPr>
      <w:r>
        <w:t>63 года. Средняя площадь ДЗН 2,21 мм</w:t>
      </w:r>
      <w:r>
        <w:rPr>
          <w:sz w:val="20"/>
          <w:vertAlign w:val="superscript"/>
        </w:rPr>
        <w:t>2</w:t>
      </w:r>
      <w:r>
        <w:t>, Среднее значение MD</w:t>
      </w:r>
      <w:r>
        <w:t xml:space="preserve"> = –2,89 dB. Исходный уровень ВГД (по данным нескольких измерений по Маклакову) не менее 32 мм рт. ст.</w:t>
      </w:r>
    </w:p>
    <w:p w14:paraId="62CB1C84" w14:textId="77777777" w:rsidR="00F230B1" w:rsidRDefault="00F5593C">
      <w:pPr>
        <w:ind w:left="-14" w:right="37"/>
      </w:pPr>
      <w:r>
        <w:t>В третью группу вошли 26 пациентов (50 глаз) 12 женщин и 14 мужчин средний возраст составил 65 лет. Средняя площадь ДЗН 2,24 мм</w:t>
      </w:r>
      <w:r>
        <w:rPr>
          <w:sz w:val="20"/>
          <w:vertAlign w:val="superscript"/>
        </w:rPr>
        <w:t>2</w:t>
      </w:r>
      <w:r>
        <w:t>, Среднее значение MD = –</w:t>
      </w:r>
      <w:r>
        <w:t>2,52 dB. Исходный уровень ВГД (по данным нескольких измерений по Маклакову) от 26 до 32 мм рт ст.</w:t>
      </w:r>
    </w:p>
    <w:p w14:paraId="2511D091" w14:textId="77777777" w:rsidR="00F230B1" w:rsidRDefault="00F5593C">
      <w:pPr>
        <w:ind w:left="-14" w:right="37"/>
      </w:pPr>
      <w:r>
        <w:t>Пациенты первой и второй групп получали в течение 1 мес инстилляции препарата «Глаумакс» (Латанопрост 0,005 %) однократно в 21.00. Сравнение препарата «Глаума</w:t>
      </w:r>
      <w:r>
        <w:t>кс» с оригинальным препаратом «Ксалатан» по составу приведено в таблице 1.</w:t>
      </w:r>
    </w:p>
    <w:p w14:paraId="377B11A2" w14:textId="77777777" w:rsidR="00F230B1" w:rsidRDefault="00F5593C">
      <w:pPr>
        <w:ind w:left="-14" w:right="284"/>
      </w:pPr>
      <w:r>
        <w:t>Пациенты третьей группы получали в течение 1 мес терапию препаратом тимолол малеат 0,5 % — 2 раза в день.</w:t>
      </w:r>
    </w:p>
    <w:p w14:paraId="07604E38" w14:textId="77777777" w:rsidR="00F230B1" w:rsidRDefault="00F5593C">
      <w:pPr>
        <w:ind w:left="-14" w:right="284"/>
      </w:pPr>
      <w:r>
        <w:t>После 1 мес терапии во всех группах повторно определялись показатели: ВГД п</w:t>
      </w:r>
      <w:r>
        <w:t>о Маклакову, контурная динамическая тонометрия (тонометром Pascal), тонометрия тонометром I-care.</w:t>
      </w:r>
    </w:p>
    <w:p w14:paraId="14A57012" w14:textId="77777777" w:rsidR="00F230B1" w:rsidRDefault="00F5593C">
      <w:pPr>
        <w:spacing w:after="263"/>
        <w:ind w:left="-14" w:right="284"/>
      </w:pPr>
      <w:r>
        <w:t>В течение наблюдаемого периода от рекомендованной терапии в группах получавших ГЛАУМАКС отказались 4 пациента из-за местных побочных эффектов (гиперемия, жжен</w:t>
      </w:r>
      <w:r>
        <w:t xml:space="preserve">ие), в группе получавших тимолол 0,5 % у 1 пациента развилась умеренная брадикардия и </w:t>
      </w:r>
      <w:proofErr w:type="gramStart"/>
      <w:r>
        <w:t>системная гипотония</w:t>
      </w:r>
      <w:proofErr w:type="gramEnd"/>
      <w:r>
        <w:t xml:space="preserve"> и терапия была изменена.</w:t>
      </w:r>
    </w:p>
    <w:p w14:paraId="29C91F15" w14:textId="77777777" w:rsidR="00F230B1" w:rsidRDefault="00F5593C">
      <w:pPr>
        <w:pStyle w:val="2"/>
        <w:ind w:left="-5"/>
      </w:pPr>
      <w:r>
        <w:lastRenderedPageBreak/>
        <w:t>результаты исследОваниЯ</w:t>
      </w:r>
    </w:p>
    <w:p w14:paraId="23BA397B" w14:textId="77777777" w:rsidR="00F230B1" w:rsidRDefault="00F5593C">
      <w:pPr>
        <w:ind w:left="-14" w:right="284"/>
      </w:pPr>
      <w:r>
        <w:t>Для анализа полученных результатов сравнивались данные первой и третьей групп, так как в этих группах</w:t>
      </w:r>
      <w:r>
        <w:t xml:space="preserve"> был сопоставимый исходный уровень ВГД. На втором этапе исследования сопоставлялись данные в группах </w:t>
      </w:r>
      <w:proofErr w:type="gramStart"/>
      <w:r>
        <w:t>пациентов</w:t>
      </w:r>
      <w:proofErr w:type="gramEnd"/>
      <w:r>
        <w:t xml:space="preserve"> получавших одинаковое лечение (ГЛАУМАКС), но имеющих разный исходный уровень ВГД.</w:t>
      </w:r>
    </w:p>
    <w:p w14:paraId="3A3BD6C9" w14:textId="77777777" w:rsidR="00F230B1" w:rsidRDefault="00F5593C">
      <w:pPr>
        <w:ind w:left="-14" w:right="284"/>
      </w:pPr>
      <w:r>
        <w:t>По данным тонометрии в обеих группах получен гипотензивный эффе</w:t>
      </w:r>
      <w:r>
        <w:t xml:space="preserve">кт. Различия между уровнем ВГД до лечения и на фоне терапии статистически достоверны независимо от метода тонометрии (p </w:t>
      </w:r>
      <w:proofErr w:type="gramStart"/>
      <w:r>
        <w:t>&lt; 0,001</w:t>
      </w:r>
      <w:proofErr w:type="gramEnd"/>
      <w:r>
        <w:t xml:space="preserve">). Результаты отличались в зависимости от метода тонометрии. Так в первой группе снижение внутриглазного давления по результатам </w:t>
      </w:r>
      <w:r>
        <w:t>тонометрии по Маклакову составило в среднем 7,4 мм рт. ст. (на 26,4 % от ис-</w:t>
      </w:r>
    </w:p>
    <w:p w14:paraId="24ABB237" w14:textId="77777777" w:rsidR="00F230B1" w:rsidRDefault="00F230B1">
      <w:pPr>
        <w:sectPr w:rsidR="00F230B1">
          <w:type w:val="continuous"/>
          <w:pgSz w:w="12189" w:h="17008"/>
          <w:pgMar w:top="680" w:right="850" w:bottom="1372" w:left="850" w:header="720" w:footer="720" w:gutter="0"/>
          <w:cols w:num="2" w:space="193"/>
        </w:sectPr>
      </w:pPr>
    </w:p>
    <w:p w14:paraId="69E0AF9C" w14:textId="77777777" w:rsidR="00F230B1" w:rsidRDefault="00F5593C">
      <w:pPr>
        <w:spacing w:after="66" w:line="259" w:lineRule="auto"/>
        <w:ind w:left="-2" w:firstLine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9C7B744" wp14:editId="1DCE61E1">
                <wp:extent cx="6476251" cy="6350"/>
                <wp:effectExtent l="0" t="0" r="0" b="0"/>
                <wp:docPr id="6638" name="Group 6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251" cy="6350"/>
                          <a:chOff x="0" y="0"/>
                          <a:chExt cx="6476251" cy="6350"/>
                        </a:xfrm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0"/>
                            <a:ext cx="6476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251">
                                <a:moveTo>
                                  <a:pt x="0" y="0"/>
                                </a:moveTo>
                                <a:lnTo>
                                  <a:pt x="647625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38" style="width:509.941pt;height:0.5pt;mso-position-horizontal-relative:char;mso-position-vertical-relative:line" coordsize="64762,63">
                <v:shape id="Shape 137" style="position:absolute;width:64762;height:0;left:0;top:0;" coordsize="6476251,0" path="m0,0l6476251,0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6BBDE662" w14:textId="77777777" w:rsidR="00F230B1" w:rsidRDefault="00F5593C">
      <w:pPr>
        <w:tabs>
          <w:tab w:val="center" w:pos="3600"/>
          <w:tab w:val="center" w:pos="4320"/>
          <w:tab w:val="center" w:pos="5808"/>
          <w:tab w:val="right" w:pos="10203"/>
        </w:tabs>
        <w:spacing w:after="0" w:line="259" w:lineRule="auto"/>
        <w:ind w:firstLine="0"/>
        <w:jc w:val="left"/>
      </w:pPr>
      <w:r>
        <w:rPr>
          <w:rFonts w:ascii="Segoe UI Symbol" w:eastAsia="Segoe UI Symbol" w:hAnsi="Segoe UI Symbol" w:cs="Segoe UI Symbol"/>
          <w:sz w:val="26"/>
        </w:rPr>
        <w:t>G</w:t>
      </w:r>
      <w:r>
        <w:rPr>
          <w:rFonts w:ascii="Segoe UI Symbol" w:eastAsia="Segoe UI Symbol" w:hAnsi="Segoe UI Symbol" w:cs="Segoe UI Symbol"/>
          <w:sz w:val="20"/>
        </w:rPr>
        <w:t xml:space="preserve"> </w:t>
      </w:r>
      <w:r>
        <w:rPr>
          <w:rFonts w:ascii="Calibri" w:eastAsia="Calibri" w:hAnsi="Calibri" w:cs="Calibri"/>
          <w:b/>
          <w:sz w:val="20"/>
        </w:rPr>
        <w:t>ОфтальмОлОгические ведОмОсти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Том </w:t>
      </w:r>
      <w:proofErr w:type="gramStart"/>
      <w:r>
        <w:rPr>
          <w:sz w:val="20"/>
        </w:rPr>
        <w:t>VI  №</w:t>
      </w:r>
      <w:proofErr w:type="gramEnd"/>
      <w:r>
        <w:rPr>
          <w:sz w:val="20"/>
        </w:rPr>
        <w:t xml:space="preserve"> 3  2013 </w:t>
      </w:r>
      <w:r>
        <w:rPr>
          <w:sz w:val="20"/>
        </w:rPr>
        <w:tab/>
        <w:t>ISSN 1998-7102</w:t>
      </w:r>
    </w:p>
    <w:p w14:paraId="6F3C4153" w14:textId="77777777" w:rsidR="00F230B1" w:rsidRDefault="00F5593C">
      <w:pPr>
        <w:spacing w:after="0" w:line="259" w:lineRule="auto"/>
        <w:ind w:left="2300" w:firstLine="0"/>
        <w:jc w:val="left"/>
      </w:pPr>
      <w:r>
        <w:rPr>
          <w:noProof/>
        </w:rPr>
        <w:drawing>
          <wp:inline distT="0" distB="0" distL="0" distR="0" wp14:anchorId="118DB4BB" wp14:editId="045B220F">
            <wp:extent cx="3977640" cy="2212848"/>
            <wp:effectExtent l="0" t="0" r="0" b="0"/>
            <wp:docPr id="7322" name="Picture 7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" name="Picture 73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F394" w14:textId="77777777" w:rsidR="00F230B1" w:rsidRDefault="00F5593C">
      <w:pPr>
        <w:spacing w:line="265" w:lineRule="auto"/>
        <w:ind w:left="279" w:hanging="10"/>
        <w:jc w:val="left"/>
      </w:pPr>
      <w:r>
        <w:rPr>
          <w:b/>
          <w:sz w:val="18"/>
        </w:rPr>
        <w:t xml:space="preserve">Рис. 1. Гипотензивный эффект </w:t>
      </w:r>
      <w:proofErr w:type="gramStart"/>
      <w:r>
        <w:rPr>
          <w:b/>
          <w:sz w:val="18"/>
        </w:rPr>
        <w:t>для  группы</w:t>
      </w:r>
      <w:proofErr w:type="gramEnd"/>
      <w:r>
        <w:rPr>
          <w:b/>
          <w:sz w:val="18"/>
        </w:rPr>
        <w:t xml:space="preserve"> I (Глаумакс), в мм рт. ст.</w:t>
      </w:r>
    </w:p>
    <w:p w14:paraId="07675A4C" w14:textId="77777777" w:rsidR="00F230B1" w:rsidRDefault="00F230B1">
      <w:pPr>
        <w:sectPr w:rsidR="00F230B1">
          <w:type w:val="continuous"/>
          <w:pgSz w:w="12189" w:h="17008"/>
          <w:pgMar w:top="1377" w:right="1134" w:bottom="764" w:left="852" w:header="720" w:footer="720" w:gutter="0"/>
          <w:cols w:space="720"/>
        </w:sectPr>
      </w:pPr>
    </w:p>
    <w:p w14:paraId="22FFCDE2" w14:textId="77777777" w:rsidR="00F230B1" w:rsidRDefault="00F5593C">
      <w:pPr>
        <w:ind w:left="-14" w:right="37" w:firstLine="0"/>
      </w:pPr>
      <w:r>
        <w:t xml:space="preserve">ходного). По результатам контурная динамическая </w:t>
      </w:r>
    </w:p>
    <w:p w14:paraId="4A8A1A63" w14:textId="77777777" w:rsidR="00F230B1" w:rsidRDefault="00F5593C">
      <w:pPr>
        <w:ind w:left="-14" w:right="37" w:firstLine="0"/>
      </w:pPr>
      <w:r>
        <w:t xml:space="preserve">тонометрия (Pascal) — 6,9 мм рт. ст. (на 27,4 % от исходного). По результатам измерения ВГД тонометром I-care — 6,6 мм рт. </w:t>
      </w:r>
      <w:r>
        <w:t xml:space="preserve">ст. (на 26,9 % от исходного). </w:t>
      </w:r>
    </w:p>
    <w:p w14:paraId="2F232627" w14:textId="77777777" w:rsidR="00F230B1" w:rsidRDefault="00F5593C">
      <w:pPr>
        <w:ind w:left="-14" w:right="37" w:firstLine="0"/>
      </w:pPr>
      <w:r>
        <w:t>Данные представлены в диаграмме — рисунок 1.</w:t>
      </w:r>
    </w:p>
    <w:p w14:paraId="727B6601" w14:textId="77777777" w:rsidR="00F230B1" w:rsidRDefault="00F5593C">
      <w:pPr>
        <w:ind w:left="-14" w:right="37"/>
      </w:pPr>
      <w:r>
        <w:t xml:space="preserve">В третьей группе также различия между уровнем ВГД до лечения и на фоне терапии статистически достоверны независимо от метода тонометрии (p </w:t>
      </w:r>
      <w:proofErr w:type="gramStart"/>
      <w:r>
        <w:t>&lt; 0,001</w:t>
      </w:r>
      <w:proofErr w:type="gramEnd"/>
      <w:r>
        <w:t>). Результаты отличались в зависим</w:t>
      </w:r>
      <w:r>
        <w:t xml:space="preserve">ости от метода тонометрии, снижение внутриглазного давления по результатам тонометрии по Маклакову </w:t>
      </w:r>
      <w:r>
        <w:t xml:space="preserve">составило в среднем — 6,8 мм рт. ст. (на 24,3 % от исходного). По результатам динамической контурной </w:t>
      </w:r>
    </w:p>
    <w:p w14:paraId="03052B47" w14:textId="77777777" w:rsidR="00F230B1" w:rsidRDefault="00F5593C">
      <w:pPr>
        <w:ind w:left="-14" w:right="37" w:firstLine="0"/>
      </w:pPr>
      <w:r>
        <w:t>тонометрии (Pascal) — 6,3 мм рт. ст. (на 25,1 % от исхо</w:t>
      </w:r>
      <w:r>
        <w:t>дного). По результатам измерения ВГД тонометром I-care — 6,0 мм рт. ст. (на 24,3 % от исходного). Данные представлены в диаграмме — рисунок 2.</w:t>
      </w:r>
    </w:p>
    <w:p w14:paraId="785A0075" w14:textId="77777777" w:rsidR="00F230B1" w:rsidRDefault="00F5593C">
      <w:pPr>
        <w:ind w:left="-14" w:right="37"/>
      </w:pPr>
      <w:r>
        <w:t>Гипотензивный эффект по результатам различных методов тонометрии можно представить в диаграмме (рисунок 3):</w:t>
      </w:r>
    </w:p>
    <w:p w14:paraId="2FD07527" w14:textId="77777777" w:rsidR="00F230B1" w:rsidRDefault="00F230B1">
      <w:pPr>
        <w:sectPr w:rsidR="00F230B1">
          <w:type w:val="continuous"/>
          <w:pgSz w:w="12189" w:h="17008"/>
          <w:pgMar w:top="1440" w:right="850" w:bottom="1440" w:left="1133" w:header="720" w:footer="720" w:gutter="0"/>
          <w:cols w:num="2" w:space="187"/>
        </w:sectPr>
      </w:pPr>
    </w:p>
    <w:p w14:paraId="6B2B3241" w14:textId="77777777" w:rsidR="00F230B1" w:rsidRDefault="00F5593C">
      <w:pPr>
        <w:spacing w:after="68" w:line="259" w:lineRule="auto"/>
        <w:ind w:left="2132" w:firstLine="0"/>
        <w:jc w:val="left"/>
      </w:pPr>
      <w:r>
        <w:rPr>
          <w:noProof/>
        </w:rPr>
        <w:drawing>
          <wp:inline distT="0" distB="0" distL="0" distR="0" wp14:anchorId="37364ECD" wp14:editId="3979CE89">
            <wp:extent cx="3886200" cy="1725168"/>
            <wp:effectExtent l="0" t="0" r="0" b="0"/>
            <wp:docPr id="7323" name="Picture 7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" name="Picture 73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E6B0" w14:textId="77777777" w:rsidR="00F230B1" w:rsidRDefault="00F5593C">
      <w:pPr>
        <w:spacing w:after="303" w:line="265" w:lineRule="auto"/>
        <w:ind w:left="279" w:hanging="10"/>
        <w:jc w:val="left"/>
      </w:pPr>
      <w:r>
        <w:rPr>
          <w:b/>
          <w:sz w:val="18"/>
        </w:rPr>
        <w:t xml:space="preserve">Рис. 2. Гипотензивный эффект </w:t>
      </w:r>
      <w:proofErr w:type="gramStart"/>
      <w:r>
        <w:rPr>
          <w:b/>
          <w:sz w:val="18"/>
        </w:rPr>
        <w:t>для  группы</w:t>
      </w:r>
      <w:proofErr w:type="gramEnd"/>
      <w:r>
        <w:rPr>
          <w:b/>
          <w:sz w:val="18"/>
        </w:rPr>
        <w:t xml:space="preserve"> III (Тимолол 0,5 %), в мм рт. ст.</w:t>
      </w:r>
    </w:p>
    <w:p w14:paraId="2925F08A" w14:textId="77777777" w:rsidR="00F230B1" w:rsidRDefault="00F5593C">
      <w:pPr>
        <w:spacing w:after="85" w:line="259" w:lineRule="auto"/>
        <w:ind w:left="2211" w:firstLine="0"/>
        <w:jc w:val="left"/>
      </w:pPr>
      <w:r>
        <w:rPr>
          <w:noProof/>
        </w:rPr>
        <w:lastRenderedPageBreak/>
        <w:drawing>
          <wp:inline distT="0" distB="0" distL="0" distR="0" wp14:anchorId="10F5433A" wp14:editId="2C20B94D">
            <wp:extent cx="4078224" cy="2371345"/>
            <wp:effectExtent l="0" t="0" r="0" b="0"/>
            <wp:docPr id="7324" name="Picture 7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" name="Picture 73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23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A8B0" w14:textId="77777777" w:rsidR="00F230B1" w:rsidRDefault="00F5593C">
      <w:pPr>
        <w:spacing w:line="265" w:lineRule="auto"/>
        <w:ind w:left="279" w:hanging="10"/>
        <w:jc w:val="left"/>
      </w:pPr>
      <w:r>
        <w:rPr>
          <w:b/>
          <w:sz w:val="18"/>
        </w:rPr>
        <w:t>Рис. 3. Сравнение гипотензивного эффекта для групп I (Глаумакс) и III (Тимолол 0,5 %), в % от исходного</w:t>
      </w:r>
    </w:p>
    <w:p w14:paraId="4F193783" w14:textId="77777777" w:rsidR="00F230B1" w:rsidRDefault="00F5593C">
      <w:pPr>
        <w:tabs>
          <w:tab w:val="right" w:pos="10214"/>
        </w:tabs>
        <w:spacing w:after="135" w:line="259" w:lineRule="auto"/>
        <w:ind w:firstLine="0"/>
        <w:jc w:val="left"/>
      </w:pPr>
      <w:r>
        <w:rPr>
          <w:rFonts w:ascii="Calibri" w:eastAsia="Calibri" w:hAnsi="Calibri" w:cs="Calibri"/>
          <w:b/>
          <w:sz w:val="20"/>
          <w:u w:val="single" w:color="181717"/>
        </w:rPr>
        <w:t>78</w:t>
      </w:r>
      <w:r>
        <w:rPr>
          <w:rFonts w:ascii="Calibri" w:eastAsia="Calibri" w:hAnsi="Calibri" w:cs="Calibri"/>
          <w:b/>
          <w:sz w:val="20"/>
          <w:u w:val="single" w:color="181717"/>
        </w:rPr>
        <w:tab/>
        <w:t>вОпрОсы ОфтальмОфармакОлОгии</w:t>
      </w:r>
    </w:p>
    <w:p w14:paraId="157372AF" w14:textId="77777777" w:rsidR="00F230B1" w:rsidRDefault="00F5593C">
      <w:pPr>
        <w:spacing w:after="27" w:line="259" w:lineRule="auto"/>
        <w:ind w:left="1890" w:firstLine="0"/>
        <w:jc w:val="left"/>
      </w:pPr>
      <w:r>
        <w:rPr>
          <w:noProof/>
        </w:rPr>
        <w:drawing>
          <wp:inline distT="0" distB="0" distL="0" distR="0" wp14:anchorId="7E717F68" wp14:editId="6331C113">
            <wp:extent cx="4096512" cy="2438401"/>
            <wp:effectExtent l="0" t="0" r="0" b="0"/>
            <wp:docPr id="7325" name="Picture 7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" name="Picture 73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243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721A" w14:textId="77777777" w:rsidR="00F230B1" w:rsidRDefault="00F5593C">
      <w:pPr>
        <w:spacing w:line="265" w:lineRule="auto"/>
        <w:ind w:left="10" w:hanging="10"/>
        <w:jc w:val="left"/>
      </w:pPr>
      <w:r>
        <w:rPr>
          <w:b/>
          <w:sz w:val="18"/>
        </w:rPr>
        <w:t xml:space="preserve">Рис. 4. Гипотензивный эффект </w:t>
      </w:r>
      <w:proofErr w:type="gramStart"/>
      <w:r>
        <w:rPr>
          <w:b/>
          <w:sz w:val="18"/>
        </w:rPr>
        <w:t>для  группы</w:t>
      </w:r>
      <w:proofErr w:type="gramEnd"/>
      <w:r>
        <w:rPr>
          <w:b/>
          <w:sz w:val="18"/>
        </w:rPr>
        <w:t xml:space="preserve"> II (Глаумакс), в мм рт. ст.</w:t>
      </w:r>
    </w:p>
    <w:p w14:paraId="643D10B5" w14:textId="77777777" w:rsidR="00F230B1" w:rsidRDefault="00F230B1">
      <w:pPr>
        <w:sectPr w:rsidR="00F230B1">
          <w:type w:val="continuous"/>
          <w:pgSz w:w="12189" w:h="17008"/>
          <w:pgMar w:top="680" w:right="1125" w:bottom="1341" w:left="850" w:header="720" w:footer="720" w:gutter="0"/>
          <w:cols w:space="720"/>
        </w:sectPr>
      </w:pPr>
    </w:p>
    <w:p w14:paraId="15B6D19D" w14:textId="77777777" w:rsidR="00F230B1" w:rsidRDefault="00F5593C">
      <w:pPr>
        <w:ind w:left="-14" w:right="37"/>
      </w:pPr>
      <w:r>
        <w:t>При сравнении гипотензивного эффе</w:t>
      </w:r>
      <w:r>
        <w:t>кта ГЛАУМАКСА при различных уровнях исходного ВГД получены следующие результаты:</w:t>
      </w:r>
    </w:p>
    <w:p w14:paraId="2194300E" w14:textId="77777777" w:rsidR="00F230B1" w:rsidRDefault="00F5593C">
      <w:pPr>
        <w:ind w:left="-14" w:right="37"/>
      </w:pPr>
      <w:r>
        <w:t>Во второй группе были получены следующие результаты тонометрии. Различия между уровнем ВГД до лечения и на фоне терапии статистически достоверны независимо от метода тонометри</w:t>
      </w:r>
      <w:r>
        <w:t xml:space="preserve">и (p </w:t>
      </w:r>
      <w:proofErr w:type="gramStart"/>
      <w:r>
        <w:t>&lt; 0,001</w:t>
      </w:r>
      <w:proofErr w:type="gramEnd"/>
      <w:r>
        <w:t>). Снижение внутриглазного давления по результатам тонометрии по Маклакову составило в среднем — 11,8 мм рт. ст. (на 3,3 % от исходного). По результатам динамической контурной тонометрии (Pascal) — 9,9 мм рт. ст. (на 33,8 % от исходного). По ре</w:t>
      </w:r>
      <w:r>
        <w:t>зультатам измерения ВГД тонометром I-care — 9,3 мм рт. ст. (на 32,7 % от исходного). Данные представлены в диаграмме — рисунок 4.</w:t>
      </w:r>
    </w:p>
    <w:p w14:paraId="4D044F85" w14:textId="77777777" w:rsidR="00F230B1" w:rsidRDefault="00F5593C">
      <w:pPr>
        <w:ind w:left="-14" w:right="37"/>
      </w:pPr>
      <w:r>
        <w:t>Результаты сравнения с данными первой группы представлены в диаграмме рисунок 5.</w:t>
      </w:r>
    </w:p>
    <w:p w14:paraId="396B7144" w14:textId="77777777" w:rsidR="00F230B1" w:rsidRDefault="00F5593C">
      <w:pPr>
        <w:pStyle w:val="2"/>
        <w:ind w:left="-5"/>
      </w:pPr>
      <w:r>
        <w:t>вывОды</w:t>
      </w:r>
    </w:p>
    <w:p w14:paraId="69E51046" w14:textId="77777777" w:rsidR="00F230B1" w:rsidRDefault="00F5593C">
      <w:pPr>
        <w:ind w:left="-14" w:right="284"/>
      </w:pPr>
      <w:r>
        <w:t>Получена статистически достоверная раз</w:t>
      </w:r>
      <w:r>
        <w:t xml:space="preserve">ница гипотензивного эффекта препарата «глаумакс» и тимолола 0,5 %. Гипотензивный эффект </w:t>
      </w:r>
      <w:proofErr w:type="gramStart"/>
      <w:r>
        <w:t>в группе</w:t>
      </w:r>
      <w:proofErr w:type="gramEnd"/>
      <w:r>
        <w:t xml:space="preserve"> получавшей «Глаумакс» достоверно превышает </w:t>
      </w:r>
      <w:r>
        <w:t>таковой в группе получавшей тимолол 0,5 % независимо от варианта измерения внутриглазного давления, при сопоставимом</w:t>
      </w:r>
      <w:r>
        <w:t xml:space="preserve"> исходном уровне офтальмотонуса.</w:t>
      </w:r>
    </w:p>
    <w:tbl>
      <w:tblPr>
        <w:tblStyle w:val="TableGrid"/>
        <w:tblpPr w:vertAnchor="text" w:horzAnchor="margin" w:tblpY="7529"/>
        <w:tblOverlap w:val="never"/>
        <w:tblW w:w="10540" w:type="dxa"/>
        <w:tblInd w:w="0" w:type="dxa"/>
        <w:tblCellMar>
          <w:top w:w="0" w:type="dxa"/>
          <w:left w:w="0" w:type="dxa"/>
          <w:bottom w:w="4" w:type="dxa"/>
          <w:right w:w="335" w:type="dxa"/>
        </w:tblCellMar>
        <w:tblLook w:val="04A0" w:firstRow="1" w:lastRow="0" w:firstColumn="1" w:lastColumn="0" w:noHBand="0" w:noVBand="1"/>
      </w:tblPr>
      <w:tblGrid>
        <w:gridCol w:w="10540"/>
      </w:tblGrid>
      <w:tr w:rsidR="00F230B1" w14:paraId="00777AC5" w14:textId="77777777">
        <w:trPr>
          <w:trHeight w:val="795"/>
        </w:trPr>
        <w:tc>
          <w:tcPr>
            <w:tcW w:w="10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E2DB7" w14:textId="77777777" w:rsidR="00F230B1" w:rsidRDefault="00F5593C">
            <w:pPr>
              <w:spacing w:after="303" w:line="259" w:lineRule="auto"/>
              <w:ind w:left="2007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06C8DF55" wp14:editId="632C62CB">
                  <wp:extent cx="4395216" cy="2636521"/>
                  <wp:effectExtent l="0" t="0" r="0" b="0"/>
                  <wp:docPr id="7326" name="Picture 7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" name="Picture 73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216" cy="26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C889E" w14:textId="77777777" w:rsidR="00F230B1" w:rsidRDefault="00F5593C">
            <w:pPr>
              <w:spacing w:after="43" w:line="259" w:lineRule="auto"/>
              <w:ind w:firstLine="0"/>
              <w:jc w:val="left"/>
            </w:pPr>
            <w:r>
              <w:rPr>
                <w:b/>
                <w:sz w:val="18"/>
              </w:rPr>
              <w:t>Рис. 5. Сравнение I и II групп (Глаумакс) по гипотензивному эффекту, в % от исходного</w:t>
            </w:r>
          </w:p>
          <w:p w14:paraId="0DB1E5A6" w14:textId="77777777" w:rsidR="00F230B1" w:rsidRDefault="00F5593C">
            <w:pPr>
              <w:spacing w:after="66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8D6F850" wp14:editId="2A00E47D">
                      <wp:extent cx="6476251" cy="6350"/>
                      <wp:effectExtent l="0" t="0" r="0" b="0"/>
                      <wp:docPr id="6404" name="Group 6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6251" cy="6350"/>
                                <a:chOff x="0" y="0"/>
                                <a:chExt cx="6476251" cy="6350"/>
                              </a:xfrm>
                            </wpg:grpSpPr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0" y="0"/>
                                  <a:ext cx="64762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6251">
                                      <a:moveTo>
                                        <a:pt x="0" y="0"/>
                                      </a:moveTo>
                                      <a:lnTo>
                                        <a:pt x="6476251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04" style="width:509.941pt;height:0.5pt;mso-position-horizontal-relative:char;mso-position-vertical-relative:line" coordsize="64762,63">
                      <v:shape id="Shape 434" style="position:absolute;width:64762;height:0;left:0;top:0;" coordsize="6476251,0" path="m0,0l6476251,0">
                        <v:stroke weight="0.5pt" endcap="flat" joinstyle="miter" miterlimit="4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7CC3D962" w14:textId="77777777" w:rsidR="00F230B1" w:rsidRDefault="00F5593C">
            <w:pPr>
              <w:tabs>
                <w:tab w:val="center" w:pos="4322"/>
                <w:tab w:val="center" w:pos="5810"/>
                <w:tab w:val="right" w:pos="10205"/>
              </w:tabs>
              <w:spacing w:after="0" w:line="259" w:lineRule="auto"/>
              <w:ind w:firstLine="0"/>
              <w:jc w:val="left"/>
            </w:pPr>
            <w:r>
              <w:rPr>
                <w:rFonts w:ascii="Segoe UI Symbol" w:eastAsia="Segoe UI Symbol" w:hAnsi="Segoe UI Symbol" w:cs="Segoe UI Symbol"/>
                <w:sz w:val="26"/>
              </w:rPr>
              <w:t>G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0"/>
              </w:rPr>
              <w:t>ОфтальмОлОгические ведОмОсти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Том </w:t>
            </w:r>
            <w:proofErr w:type="gramStart"/>
            <w:r>
              <w:rPr>
                <w:sz w:val="20"/>
              </w:rPr>
              <w:t>VI  №</w:t>
            </w:r>
            <w:proofErr w:type="gramEnd"/>
            <w:r>
              <w:rPr>
                <w:sz w:val="20"/>
              </w:rPr>
              <w:t xml:space="preserve"> 3  2013 </w:t>
            </w:r>
            <w:r>
              <w:rPr>
                <w:sz w:val="20"/>
              </w:rPr>
              <w:tab/>
              <w:t>ISSN 1998-7102</w:t>
            </w:r>
          </w:p>
        </w:tc>
      </w:tr>
    </w:tbl>
    <w:p w14:paraId="02AD75EB" w14:textId="77777777" w:rsidR="00F230B1" w:rsidRDefault="00F5593C">
      <w:pPr>
        <w:ind w:left="-14" w:right="284"/>
      </w:pPr>
      <w:r>
        <w:t>Разница в гипотензивном эффекте терапии в зависимости от метода тонометрии, по-видимому, обусловлена различным влиянием на результаты тонометрии биомеханических свойств роговицы и других факторов. Хотя измерение ВГД производилось в одно время, принципы опр</w:t>
      </w:r>
      <w:r>
        <w:t>еделения офтальмотонуса различаются. Так тонометрия по Маклакову аппланационная и выполняется в положении лежа, а измерениеВГД тонометрами I-care и Pascal импрессионное и выполняется в положении сидя. Однако, если оценивать гипотензивный результат в % от и</w:t>
      </w:r>
      <w:r>
        <w:t>сходного, полученные различия менее 2 %.</w:t>
      </w:r>
    </w:p>
    <w:p w14:paraId="53915B23" w14:textId="77777777" w:rsidR="00F230B1" w:rsidRDefault="00F5593C">
      <w:pPr>
        <w:ind w:left="283" w:right="37"/>
      </w:pPr>
      <w:r>
        <w:t xml:space="preserve">В зависимости от исходного уровня ВГД гипотензивный эффект латанапроста 0,005 % (ГЛАУМАКС) выражается по-разному. В группе II с более высоким исходным уровнем офтальмотонуса снижение ВГД в % от исходного было </w:t>
      </w:r>
      <w:proofErr w:type="gramStart"/>
      <w:r>
        <w:t>выше</w:t>
      </w:r>
      <w:proofErr w:type="gramEnd"/>
      <w:r>
        <w:t xml:space="preserve"> ч</w:t>
      </w:r>
      <w:r>
        <w:t>ем в группе I.</w:t>
      </w:r>
    </w:p>
    <w:p w14:paraId="0A623DD9" w14:textId="77777777" w:rsidR="00F230B1" w:rsidRDefault="00F5593C">
      <w:pPr>
        <w:spacing w:after="48"/>
        <w:ind w:left="283" w:right="37"/>
      </w:pPr>
      <w:r>
        <w:t xml:space="preserve">Средний гипотензивный эффект в данном исследовании сопоставим с данными многоцентровых исследований и метаанализов проведенных для оригинального препарата «Ксалатан». </w:t>
      </w:r>
      <w:r>
        <w:rPr>
          <w:rFonts w:ascii="Calibri" w:eastAsia="Calibri" w:hAnsi="Calibri" w:cs="Calibri"/>
          <w:b/>
        </w:rPr>
        <w:t xml:space="preserve">списОк литературы </w:t>
      </w:r>
    </w:p>
    <w:p w14:paraId="75EB56D1" w14:textId="77777777" w:rsidR="00F230B1" w:rsidRDefault="00F5593C">
      <w:pPr>
        <w:numPr>
          <w:ilvl w:val="0"/>
          <w:numId w:val="2"/>
        </w:numPr>
        <w:spacing w:after="0" w:line="265" w:lineRule="auto"/>
        <w:ind w:right="38" w:hanging="284"/>
      </w:pPr>
      <w:r>
        <w:rPr>
          <w:rFonts w:ascii="Calibri" w:eastAsia="Calibri" w:hAnsi="Calibri" w:cs="Calibri"/>
          <w:i/>
          <w:sz w:val="20"/>
        </w:rPr>
        <w:t>Алексеев В. Н., Левко М. А., Муса А. М.</w:t>
      </w:r>
      <w:r>
        <w:rPr>
          <w:rFonts w:ascii="Calibri" w:eastAsia="Calibri" w:hAnsi="Calibri" w:cs="Calibri"/>
          <w:sz w:val="20"/>
        </w:rPr>
        <w:tab/>
        <w:t>Сравнение</w:t>
      </w:r>
      <w:r>
        <w:rPr>
          <w:rFonts w:ascii="Calibri" w:eastAsia="Calibri" w:hAnsi="Calibri" w:cs="Calibri"/>
          <w:sz w:val="20"/>
        </w:rPr>
        <w:tab/>
        <w:t>эффективности</w:t>
      </w:r>
      <w:r>
        <w:rPr>
          <w:rFonts w:ascii="Calibri" w:eastAsia="Calibri" w:hAnsi="Calibri" w:cs="Calibri"/>
          <w:sz w:val="20"/>
        </w:rPr>
        <w:tab/>
        <w:t>применения</w:t>
      </w:r>
      <w:r>
        <w:rPr>
          <w:rFonts w:ascii="Calibri" w:eastAsia="Calibri" w:hAnsi="Calibri" w:cs="Calibri"/>
          <w:sz w:val="20"/>
        </w:rPr>
        <w:tab/>
        <w:t>Ксалатана,</w:t>
      </w:r>
      <w:r>
        <w:rPr>
          <w:rFonts w:ascii="Calibri" w:eastAsia="Calibri" w:hAnsi="Calibri" w:cs="Calibri"/>
          <w:sz w:val="20"/>
        </w:rPr>
        <w:tab/>
        <w:t>Траватана</w:t>
      </w:r>
      <w:r>
        <w:rPr>
          <w:rFonts w:ascii="Calibri" w:eastAsia="Calibri" w:hAnsi="Calibri" w:cs="Calibri"/>
          <w:sz w:val="20"/>
        </w:rPr>
        <w:tab/>
        <w:t>и</w:t>
      </w:r>
      <w:r>
        <w:rPr>
          <w:rFonts w:ascii="Calibri" w:eastAsia="Calibri" w:hAnsi="Calibri" w:cs="Calibri"/>
          <w:sz w:val="20"/>
        </w:rPr>
        <w:tab/>
        <w:t>Тафлупроста</w:t>
      </w:r>
      <w:r>
        <w:rPr>
          <w:rFonts w:ascii="Calibri" w:eastAsia="Calibri" w:hAnsi="Calibri" w:cs="Calibri"/>
          <w:sz w:val="20"/>
        </w:rPr>
        <w:tab/>
        <w:t>при</w:t>
      </w:r>
      <w:r>
        <w:rPr>
          <w:rFonts w:ascii="Calibri" w:eastAsia="Calibri" w:hAnsi="Calibri" w:cs="Calibri"/>
          <w:sz w:val="20"/>
        </w:rPr>
        <w:tab/>
        <w:t>лечении</w:t>
      </w:r>
      <w:r>
        <w:rPr>
          <w:rFonts w:ascii="Calibri" w:eastAsia="Calibri" w:hAnsi="Calibri" w:cs="Calibri"/>
          <w:sz w:val="20"/>
        </w:rPr>
        <w:tab/>
        <w:t>первичной</w:t>
      </w:r>
      <w:r>
        <w:rPr>
          <w:rFonts w:ascii="Calibri" w:eastAsia="Calibri" w:hAnsi="Calibri" w:cs="Calibri"/>
          <w:sz w:val="20"/>
        </w:rPr>
        <w:tab/>
        <w:t>глаукомы.</w:t>
      </w:r>
    </w:p>
    <w:p w14:paraId="606E777A" w14:textId="77777777" w:rsidR="00F230B1" w:rsidRDefault="00F5593C">
      <w:pPr>
        <w:numPr>
          <w:ilvl w:val="0"/>
          <w:numId w:val="2"/>
        </w:numPr>
        <w:spacing w:after="0" w:line="265" w:lineRule="auto"/>
        <w:ind w:right="38" w:hanging="284"/>
      </w:pPr>
      <w:r>
        <w:rPr>
          <w:rFonts w:ascii="Calibri" w:eastAsia="Calibri" w:hAnsi="Calibri" w:cs="Calibri"/>
          <w:i/>
          <w:sz w:val="20"/>
        </w:rPr>
        <w:t>Егоров Е. А., Астахов Ю. С., Щуко А. Г.</w:t>
      </w:r>
      <w:r>
        <w:rPr>
          <w:rFonts w:ascii="Calibri" w:eastAsia="Calibri" w:hAnsi="Calibri" w:cs="Calibri"/>
          <w:sz w:val="20"/>
        </w:rPr>
        <w:tab/>
        <w:t>Национальное</w:t>
      </w:r>
      <w:r>
        <w:rPr>
          <w:rFonts w:ascii="Calibri" w:eastAsia="Calibri" w:hAnsi="Calibri" w:cs="Calibri"/>
          <w:sz w:val="20"/>
        </w:rPr>
        <w:tab/>
        <w:t>руководство</w:t>
      </w:r>
      <w:r>
        <w:rPr>
          <w:rFonts w:ascii="Calibri" w:eastAsia="Calibri" w:hAnsi="Calibri" w:cs="Calibri"/>
          <w:sz w:val="20"/>
        </w:rPr>
        <w:tab/>
        <w:t>по</w:t>
      </w:r>
      <w:r>
        <w:rPr>
          <w:rFonts w:ascii="Calibri" w:eastAsia="Calibri" w:hAnsi="Calibri" w:cs="Calibri"/>
          <w:sz w:val="20"/>
        </w:rPr>
        <w:tab/>
        <w:t>глаукоме.</w:t>
      </w:r>
    </w:p>
    <w:p w14:paraId="08EA5E5D" w14:textId="77777777" w:rsidR="00F230B1" w:rsidRDefault="00F5593C">
      <w:pPr>
        <w:numPr>
          <w:ilvl w:val="0"/>
          <w:numId w:val="2"/>
        </w:numPr>
        <w:spacing w:after="0" w:line="265" w:lineRule="auto"/>
        <w:ind w:right="38" w:hanging="284"/>
      </w:pPr>
      <w:r>
        <w:rPr>
          <w:rFonts w:ascii="Calibri" w:eastAsia="Calibri" w:hAnsi="Calibri" w:cs="Calibri"/>
          <w:i/>
          <w:sz w:val="20"/>
        </w:rPr>
        <w:t>Егоров Е. А.</w:t>
      </w:r>
      <w:r>
        <w:rPr>
          <w:rFonts w:ascii="Calibri" w:eastAsia="Calibri" w:hAnsi="Calibri" w:cs="Calibri"/>
          <w:sz w:val="20"/>
        </w:rPr>
        <w:tab/>
        <w:t>Латанопрост</w:t>
      </w:r>
      <w:r>
        <w:rPr>
          <w:rFonts w:ascii="Calibri" w:eastAsia="Calibri" w:hAnsi="Calibri" w:cs="Calibri"/>
          <w:sz w:val="20"/>
        </w:rPr>
        <w:tab/>
        <w:t>(Ксалатан)</w:t>
      </w:r>
      <w:r>
        <w:rPr>
          <w:rFonts w:ascii="Calibri" w:eastAsia="Calibri" w:hAnsi="Calibri" w:cs="Calibri"/>
          <w:sz w:val="20"/>
        </w:rPr>
        <w:tab/>
      </w:r>
      <w:r>
        <w:rPr>
          <w:rFonts w:ascii="Calibri" w:eastAsia="Calibri" w:hAnsi="Calibri" w:cs="Calibri"/>
          <w:sz w:val="20"/>
        </w:rPr>
        <w:t>в</w:t>
      </w:r>
      <w:r>
        <w:rPr>
          <w:rFonts w:ascii="Calibri" w:eastAsia="Calibri" w:hAnsi="Calibri" w:cs="Calibri"/>
          <w:sz w:val="20"/>
        </w:rPr>
        <w:tab/>
        <w:t>лечении</w:t>
      </w:r>
      <w:r>
        <w:rPr>
          <w:rFonts w:ascii="Calibri" w:eastAsia="Calibri" w:hAnsi="Calibri" w:cs="Calibri"/>
          <w:sz w:val="20"/>
        </w:rPr>
        <w:tab/>
        <w:t>глаукомы.</w:t>
      </w:r>
    </w:p>
    <w:p w14:paraId="2232BD80" w14:textId="77777777" w:rsidR="00F230B1" w:rsidRDefault="00F5593C">
      <w:pPr>
        <w:numPr>
          <w:ilvl w:val="0"/>
          <w:numId w:val="2"/>
        </w:numPr>
        <w:spacing w:after="0" w:line="265" w:lineRule="auto"/>
        <w:ind w:right="38" w:hanging="284"/>
      </w:pPr>
      <w:r>
        <w:rPr>
          <w:rFonts w:ascii="Calibri" w:eastAsia="Calibri" w:hAnsi="Calibri" w:cs="Calibri"/>
          <w:i/>
          <w:sz w:val="20"/>
        </w:rPr>
        <w:t>Шмырева В. Ф., Петров С. Ю., Антонов А. А., Данилов С. С.</w:t>
      </w:r>
      <w:r>
        <w:rPr>
          <w:rFonts w:ascii="Calibri" w:eastAsia="Calibri" w:hAnsi="Calibri" w:cs="Calibri"/>
          <w:sz w:val="20"/>
        </w:rPr>
        <w:tab/>
        <w:t>Исследование</w:t>
      </w:r>
      <w:r>
        <w:rPr>
          <w:rFonts w:ascii="Calibri" w:eastAsia="Calibri" w:hAnsi="Calibri" w:cs="Calibri"/>
          <w:sz w:val="20"/>
        </w:rPr>
        <w:tab/>
        <w:t>суточных</w:t>
      </w:r>
      <w:r>
        <w:rPr>
          <w:rFonts w:ascii="Calibri" w:eastAsia="Calibri" w:hAnsi="Calibri" w:cs="Calibri"/>
          <w:sz w:val="20"/>
        </w:rPr>
        <w:tab/>
        <w:t>колебаний</w:t>
      </w:r>
      <w:r>
        <w:rPr>
          <w:rFonts w:ascii="Calibri" w:eastAsia="Calibri" w:hAnsi="Calibri" w:cs="Calibri"/>
          <w:sz w:val="20"/>
        </w:rPr>
        <w:tab/>
        <w:t>офтальмотонуса</w:t>
      </w:r>
      <w:r>
        <w:rPr>
          <w:rFonts w:ascii="Calibri" w:eastAsia="Calibri" w:hAnsi="Calibri" w:cs="Calibri"/>
          <w:sz w:val="20"/>
        </w:rPr>
        <w:tab/>
        <w:t>у</w:t>
      </w:r>
      <w:r>
        <w:rPr>
          <w:rFonts w:ascii="Calibri" w:eastAsia="Calibri" w:hAnsi="Calibri" w:cs="Calibri"/>
          <w:sz w:val="20"/>
        </w:rPr>
        <w:tab/>
        <w:t>пациентов</w:t>
      </w:r>
      <w:r>
        <w:rPr>
          <w:rFonts w:ascii="Calibri" w:eastAsia="Calibri" w:hAnsi="Calibri" w:cs="Calibri"/>
          <w:sz w:val="20"/>
        </w:rPr>
        <w:tab/>
        <w:t>с</w:t>
      </w:r>
      <w:r>
        <w:rPr>
          <w:rFonts w:ascii="Calibri" w:eastAsia="Calibri" w:hAnsi="Calibri" w:cs="Calibri"/>
          <w:sz w:val="20"/>
        </w:rPr>
        <w:tab/>
        <w:t>первичной</w:t>
      </w:r>
      <w:r>
        <w:rPr>
          <w:rFonts w:ascii="Calibri" w:eastAsia="Calibri" w:hAnsi="Calibri" w:cs="Calibri"/>
          <w:sz w:val="20"/>
        </w:rPr>
        <w:tab/>
        <w:t>открытоугольной</w:t>
      </w:r>
      <w:r>
        <w:rPr>
          <w:rFonts w:ascii="Calibri" w:eastAsia="Calibri" w:hAnsi="Calibri" w:cs="Calibri"/>
          <w:sz w:val="20"/>
        </w:rPr>
        <w:tab/>
        <w:t>глаукомой</w:t>
      </w:r>
      <w:r>
        <w:rPr>
          <w:rFonts w:ascii="Calibri" w:eastAsia="Calibri" w:hAnsi="Calibri" w:cs="Calibri"/>
          <w:sz w:val="20"/>
        </w:rPr>
        <w:tab/>
        <w:t>при</w:t>
      </w:r>
      <w:r>
        <w:rPr>
          <w:rFonts w:ascii="Calibri" w:eastAsia="Calibri" w:hAnsi="Calibri" w:cs="Calibri"/>
          <w:sz w:val="20"/>
        </w:rPr>
        <w:tab/>
        <w:t>монотерапии</w:t>
      </w:r>
      <w:r>
        <w:rPr>
          <w:rFonts w:ascii="Calibri" w:eastAsia="Calibri" w:hAnsi="Calibri" w:cs="Calibri"/>
          <w:sz w:val="20"/>
        </w:rPr>
        <w:tab/>
        <w:t>тимололом,</w:t>
      </w:r>
      <w:r>
        <w:rPr>
          <w:rFonts w:ascii="Calibri" w:eastAsia="Calibri" w:hAnsi="Calibri" w:cs="Calibri"/>
          <w:sz w:val="20"/>
        </w:rPr>
        <w:tab/>
        <w:t>латанопростом</w:t>
      </w:r>
      <w:r>
        <w:rPr>
          <w:rFonts w:ascii="Calibri" w:eastAsia="Calibri" w:hAnsi="Calibri" w:cs="Calibri"/>
          <w:sz w:val="20"/>
        </w:rPr>
        <w:tab/>
        <w:t>и</w:t>
      </w:r>
      <w:r>
        <w:rPr>
          <w:rFonts w:ascii="Calibri" w:eastAsia="Calibri" w:hAnsi="Calibri" w:cs="Calibri"/>
          <w:sz w:val="20"/>
        </w:rPr>
        <w:tab/>
        <w:t>травопростом.</w:t>
      </w:r>
    </w:p>
    <w:p w14:paraId="0F9C9552" w14:textId="77777777" w:rsidR="00F230B1" w:rsidRDefault="00F5593C">
      <w:pPr>
        <w:numPr>
          <w:ilvl w:val="0"/>
          <w:numId w:val="2"/>
        </w:numPr>
        <w:spacing w:after="0" w:line="265" w:lineRule="auto"/>
        <w:ind w:right="38" w:hanging="284"/>
      </w:pPr>
      <w:r w:rsidRPr="00446EE2">
        <w:rPr>
          <w:rFonts w:ascii="Calibri" w:eastAsia="Calibri" w:hAnsi="Calibri" w:cs="Calibri"/>
          <w:i/>
          <w:sz w:val="20"/>
          <w:lang w:val="en-US"/>
        </w:rPr>
        <w:t>Camras C., Alm A., Watso</w:t>
      </w:r>
      <w:r w:rsidRPr="00446EE2">
        <w:rPr>
          <w:rFonts w:ascii="Calibri" w:eastAsia="Calibri" w:hAnsi="Calibri" w:cs="Calibri"/>
          <w:i/>
          <w:sz w:val="20"/>
          <w:lang w:val="en-US"/>
        </w:rPr>
        <w:t>n P.</w:t>
      </w:r>
      <w:r w:rsidRPr="00446EE2">
        <w:rPr>
          <w:rFonts w:ascii="Calibri" w:eastAsia="Calibri" w:hAnsi="Calibri" w:cs="Calibri"/>
          <w:sz w:val="20"/>
          <w:lang w:val="en-US"/>
        </w:rPr>
        <w:tab/>
        <w:t>Glaucoma</w:t>
      </w:r>
      <w:r w:rsidRPr="00446EE2">
        <w:rPr>
          <w:rFonts w:ascii="Calibri" w:eastAsia="Calibri" w:hAnsi="Calibri" w:cs="Calibri"/>
          <w:sz w:val="20"/>
          <w:lang w:val="en-US"/>
        </w:rPr>
        <w:tab/>
        <w:t>treatment</w:t>
      </w:r>
      <w:r w:rsidRPr="00446EE2">
        <w:rPr>
          <w:rFonts w:ascii="Calibri" w:eastAsia="Calibri" w:hAnsi="Calibri" w:cs="Calibri"/>
          <w:sz w:val="20"/>
          <w:lang w:val="en-US"/>
        </w:rPr>
        <w:tab/>
        <w:t>for</w:t>
      </w:r>
      <w:r w:rsidRPr="00446EE2">
        <w:rPr>
          <w:rFonts w:ascii="Calibri" w:eastAsia="Calibri" w:hAnsi="Calibri" w:cs="Calibri"/>
          <w:sz w:val="20"/>
          <w:lang w:val="en-US"/>
        </w:rPr>
        <w:tab/>
        <w:t>1</w:t>
      </w:r>
      <w:r w:rsidRPr="00446EE2">
        <w:rPr>
          <w:rFonts w:ascii="Calibri" w:eastAsia="Calibri" w:hAnsi="Calibri" w:cs="Calibri"/>
          <w:sz w:val="20"/>
          <w:lang w:val="en-US"/>
        </w:rPr>
        <w:tab/>
        <w:t>year</w:t>
      </w:r>
      <w:r w:rsidRPr="00446EE2">
        <w:rPr>
          <w:rFonts w:ascii="Calibri" w:eastAsia="Calibri" w:hAnsi="Calibri" w:cs="Calibri"/>
          <w:sz w:val="20"/>
          <w:lang w:val="en-US"/>
        </w:rPr>
        <w:tab/>
        <w:t>with</w:t>
      </w:r>
      <w:r w:rsidRPr="00446EE2">
        <w:rPr>
          <w:rFonts w:ascii="Calibri" w:eastAsia="Calibri" w:hAnsi="Calibri" w:cs="Calibri"/>
          <w:sz w:val="20"/>
          <w:lang w:val="en-US"/>
        </w:rPr>
        <w:tab/>
        <w:t>latanoprost,</w:t>
      </w:r>
      <w:r w:rsidRPr="00446EE2">
        <w:rPr>
          <w:rFonts w:ascii="Calibri" w:eastAsia="Calibri" w:hAnsi="Calibri" w:cs="Calibri"/>
          <w:sz w:val="20"/>
          <w:lang w:val="en-US"/>
        </w:rPr>
        <w:tab/>
        <w:t>a</w:t>
      </w:r>
      <w:r w:rsidRPr="00446EE2">
        <w:rPr>
          <w:rFonts w:ascii="Calibri" w:eastAsia="Calibri" w:hAnsi="Calibri" w:cs="Calibri"/>
          <w:sz w:val="20"/>
          <w:lang w:val="en-US"/>
        </w:rPr>
        <w:tab/>
        <w:t>prostaglandin</w:t>
      </w:r>
      <w:r w:rsidRPr="00446EE2">
        <w:rPr>
          <w:rFonts w:ascii="Calibri" w:eastAsia="Calibri" w:hAnsi="Calibri" w:cs="Calibri"/>
          <w:sz w:val="20"/>
          <w:lang w:val="en-US"/>
        </w:rPr>
        <w:tab/>
        <w:t>analog,</w:t>
      </w:r>
      <w:r w:rsidRPr="00446EE2">
        <w:rPr>
          <w:rFonts w:ascii="Calibri" w:eastAsia="Calibri" w:hAnsi="Calibri" w:cs="Calibri"/>
          <w:sz w:val="20"/>
          <w:lang w:val="en-US"/>
        </w:rPr>
        <w:tab/>
        <w:t>in</w:t>
      </w:r>
      <w:r w:rsidRPr="00446EE2">
        <w:rPr>
          <w:rFonts w:ascii="Calibri" w:eastAsia="Calibri" w:hAnsi="Calibri" w:cs="Calibri"/>
          <w:sz w:val="20"/>
          <w:lang w:val="en-US"/>
        </w:rPr>
        <w:tab/>
        <w:t>the</w:t>
      </w:r>
      <w:r w:rsidRPr="00446EE2">
        <w:rPr>
          <w:rFonts w:ascii="Calibri" w:eastAsia="Calibri" w:hAnsi="Calibri" w:cs="Calibri"/>
          <w:sz w:val="20"/>
          <w:lang w:val="en-US"/>
        </w:rPr>
        <w:tab/>
        <w:t>USA,</w:t>
      </w:r>
      <w:r w:rsidRPr="00446EE2">
        <w:rPr>
          <w:rFonts w:ascii="Calibri" w:eastAsia="Calibri" w:hAnsi="Calibri" w:cs="Calibri"/>
          <w:sz w:val="20"/>
          <w:lang w:val="en-US"/>
        </w:rPr>
        <w:tab/>
        <w:t>Scandinavia</w:t>
      </w:r>
      <w:r w:rsidRPr="00446EE2">
        <w:rPr>
          <w:rFonts w:ascii="Calibri" w:eastAsia="Calibri" w:hAnsi="Calibri" w:cs="Calibri"/>
          <w:sz w:val="20"/>
          <w:lang w:val="en-US"/>
        </w:rPr>
        <w:tab/>
        <w:t>and</w:t>
      </w:r>
      <w:r w:rsidRPr="00446EE2">
        <w:rPr>
          <w:rFonts w:ascii="Calibri" w:eastAsia="Calibri" w:hAnsi="Calibri" w:cs="Calibri"/>
          <w:sz w:val="20"/>
          <w:lang w:val="en-US"/>
        </w:rPr>
        <w:tab/>
        <w:t>UK.</w:t>
      </w:r>
      <w:r w:rsidRPr="00446EE2">
        <w:rPr>
          <w:rFonts w:ascii="Calibri" w:eastAsia="Calibri" w:hAnsi="Calibri" w:cs="Calibri"/>
          <w:sz w:val="20"/>
          <w:lang w:val="en-US"/>
        </w:rPr>
        <w:tab/>
      </w:r>
      <w:r>
        <w:rPr>
          <w:rFonts w:ascii="Calibri" w:eastAsia="Calibri" w:hAnsi="Calibri" w:cs="Calibri"/>
          <w:sz w:val="20"/>
        </w:rPr>
        <w:t>American</w:t>
      </w:r>
      <w:r>
        <w:rPr>
          <w:rFonts w:ascii="Calibri" w:eastAsia="Calibri" w:hAnsi="Calibri" w:cs="Calibri"/>
          <w:sz w:val="20"/>
        </w:rPr>
        <w:tab/>
        <w:t>Academy</w:t>
      </w:r>
      <w:r>
        <w:rPr>
          <w:rFonts w:ascii="Calibri" w:eastAsia="Calibri" w:hAnsi="Calibri" w:cs="Calibri"/>
          <w:sz w:val="20"/>
        </w:rPr>
        <w:tab/>
        <w:t>of</w:t>
      </w:r>
      <w:r>
        <w:rPr>
          <w:rFonts w:ascii="Calibri" w:eastAsia="Calibri" w:hAnsi="Calibri" w:cs="Calibri"/>
          <w:sz w:val="20"/>
        </w:rPr>
        <w:tab/>
        <w:t>Ophthalmology,</w:t>
      </w:r>
      <w:r>
        <w:rPr>
          <w:rFonts w:ascii="Calibri" w:eastAsia="Calibri" w:hAnsi="Calibri" w:cs="Calibri"/>
          <w:sz w:val="20"/>
        </w:rPr>
        <w:tab/>
        <w:t>Annual</w:t>
      </w:r>
      <w:r>
        <w:rPr>
          <w:rFonts w:ascii="Calibri" w:eastAsia="Calibri" w:hAnsi="Calibri" w:cs="Calibri"/>
          <w:sz w:val="20"/>
        </w:rPr>
        <w:tab/>
        <w:t>Meeting:</w:t>
      </w:r>
      <w:r>
        <w:rPr>
          <w:rFonts w:ascii="Calibri" w:eastAsia="Calibri" w:hAnsi="Calibri" w:cs="Calibri"/>
          <w:sz w:val="20"/>
        </w:rPr>
        <w:tab/>
        <w:t>Atlanta.</w:t>
      </w:r>
      <w:r>
        <w:rPr>
          <w:rFonts w:ascii="Calibri" w:eastAsia="Calibri" w:hAnsi="Calibri" w:cs="Calibri"/>
          <w:sz w:val="20"/>
        </w:rPr>
        <w:tab/>
        <w:t>—</w:t>
      </w:r>
      <w:r>
        <w:rPr>
          <w:rFonts w:ascii="Calibri" w:eastAsia="Calibri" w:hAnsi="Calibri" w:cs="Calibri"/>
          <w:sz w:val="20"/>
        </w:rPr>
        <w:tab/>
        <w:t>1995.</w:t>
      </w:r>
      <w:r>
        <w:rPr>
          <w:rFonts w:ascii="Calibri" w:eastAsia="Calibri" w:hAnsi="Calibri" w:cs="Calibri"/>
          <w:sz w:val="20"/>
        </w:rPr>
        <w:tab/>
        <w:t>—</w:t>
      </w:r>
      <w:r>
        <w:rPr>
          <w:rFonts w:ascii="Calibri" w:eastAsia="Calibri" w:hAnsi="Calibri" w:cs="Calibri"/>
          <w:sz w:val="20"/>
        </w:rPr>
        <w:tab/>
        <w:t>P.</w:t>
      </w:r>
      <w:r>
        <w:rPr>
          <w:rFonts w:ascii="Calibri" w:eastAsia="Calibri" w:hAnsi="Calibri" w:cs="Calibri"/>
          <w:sz w:val="20"/>
        </w:rPr>
        <w:tab/>
        <w:t>89.</w:t>
      </w:r>
    </w:p>
    <w:p w14:paraId="051918A6" w14:textId="77777777" w:rsidR="00F230B1" w:rsidRPr="00446EE2" w:rsidRDefault="00F5593C">
      <w:pPr>
        <w:numPr>
          <w:ilvl w:val="0"/>
          <w:numId w:val="2"/>
        </w:numPr>
        <w:spacing w:after="0" w:line="265" w:lineRule="auto"/>
        <w:ind w:right="38" w:hanging="284"/>
        <w:rPr>
          <w:lang w:val="en-US"/>
        </w:rPr>
      </w:pPr>
      <w:r w:rsidRPr="00446EE2">
        <w:rPr>
          <w:rFonts w:ascii="Calibri" w:eastAsia="Calibri" w:hAnsi="Calibri" w:cs="Calibri"/>
          <w:i/>
          <w:sz w:val="20"/>
          <w:lang w:val="en-US"/>
        </w:rPr>
        <w:t>Sihota R., Saxena R., Agarwal H. C., Pandey R. M., Gulati V.</w:t>
      </w:r>
      <w:r w:rsidRPr="00446EE2">
        <w:rPr>
          <w:rFonts w:ascii="Calibri" w:eastAsia="Calibri" w:hAnsi="Calibri" w:cs="Calibri"/>
          <w:sz w:val="20"/>
          <w:lang w:val="en-US"/>
        </w:rPr>
        <w:tab/>
        <w:t>Peak</w:t>
      </w:r>
      <w:r w:rsidRPr="00446EE2">
        <w:rPr>
          <w:rFonts w:ascii="Calibri" w:eastAsia="Calibri" w:hAnsi="Calibri" w:cs="Calibri"/>
          <w:sz w:val="20"/>
          <w:lang w:val="en-US"/>
        </w:rPr>
        <w:tab/>
        <w:t>pres</w:t>
      </w:r>
      <w:r w:rsidRPr="00446EE2">
        <w:rPr>
          <w:rFonts w:ascii="Calibri" w:eastAsia="Calibri" w:hAnsi="Calibri" w:cs="Calibri"/>
          <w:sz w:val="20"/>
          <w:lang w:val="en-US"/>
        </w:rPr>
        <w:t>sures:</w:t>
      </w:r>
      <w:r w:rsidRPr="00446EE2">
        <w:rPr>
          <w:rFonts w:ascii="Calibri" w:eastAsia="Calibri" w:hAnsi="Calibri" w:cs="Calibri"/>
          <w:sz w:val="20"/>
          <w:lang w:val="en-US"/>
        </w:rPr>
        <w:tab/>
        <w:t>crossover</w:t>
      </w:r>
      <w:r w:rsidRPr="00446EE2">
        <w:rPr>
          <w:rFonts w:ascii="Calibri" w:eastAsia="Calibri" w:hAnsi="Calibri" w:cs="Calibri"/>
          <w:sz w:val="20"/>
          <w:lang w:val="en-US"/>
        </w:rPr>
        <w:tab/>
        <w:t>study</w:t>
      </w:r>
      <w:r w:rsidRPr="00446EE2">
        <w:rPr>
          <w:rFonts w:ascii="Calibri" w:eastAsia="Calibri" w:hAnsi="Calibri" w:cs="Calibri"/>
          <w:sz w:val="20"/>
          <w:lang w:val="en-US"/>
        </w:rPr>
        <w:tab/>
        <w:t>of</w:t>
      </w:r>
      <w:r w:rsidRPr="00446EE2">
        <w:rPr>
          <w:rFonts w:ascii="Calibri" w:eastAsia="Calibri" w:hAnsi="Calibri" w:cs="Calibri"/>
          <w:sz w:val="20"/>
          <w:lang w:val="en-US"/>
        </w:rPr>
        <w:tab/>
        <w:t>timolol</w:t>
      </w:r>
      <w:r w:rsidRPr="00446EE2">
        <w:rPr>
          <w:rFonts w:ascii="Calibri" w:eastAsia="Calibri" w:hAnsi="Calibri" w:cs="Calibri"/>
          <w:sz w:val="20"/>
          <w:lang w:val="en-US"/>
        </w:rPr>
        <w:tab/>
        <w:t>and</w:t>
      </w:r>
      <w:r w:rsidRPr="00446EE2">
        <w:rPr>
          <w:rFonts w:ascii="Calibri" w:eastAsia="Calibri" w:hAnsi="Calibri" w:cs="Calibri"/>
          <w:sz w:val="20"/>
          <w:lang w:val="en-US"/>
        </w:rPr>
        <w:tab/>
        <w:t>latanoprost</w:t>
      </w:r>
      <w:r w:rsidRPr="00446EE2">
        <w:rPr>
          <w:rFonts w:ascii="Calibri" w:eastAsia="Calibri" w:hAnsi="Calibri" w:cs="Calibri"/>
          <w:sz w:val="20"/>
          <w:lang w:val="en-US"/>
        </w:rPr>
        <w:tab/>
        <w:t>//</w:t>
      </w:r>
      <w:r w:rsidRPr="00446EE2">
        <w:rPr>
          <w:rFonts w:ascii="Calibri" w:eastAsia="Calibri" w:hAnsi="Calibri" w:cs="Calibri"/>
          <w:sz w:val="20"/>
          <w:lang w:val="en-US"/>
        </w:rPr>
        <w:tab/>
        <w:t>Eur.</w:t>
      </w:r>
      <w:r w:rsidRPr="00446EE2">
        <w:rPr>
          <w:rFonts w:ascii="Calibri" w:eastAsia="Calibri" w:hAnsi="Calibri" w:cs="Calibri"/>
          <w:sz w:val="20"/>
          <w:lang w:val="en-US"/>
        </w:rPr>
        <w:tab/>
        <w:t>J.</w:t>
      </w:r>
      <w:r w:rsidRPr="00446EE2">
        <w:rPr>
          <w:rFonts w:ascii="Calibri" w:eastAsia="Calibri" w:hAnsi="Calibri" w:cs="Calibri"/>
          <w:sz w:val="20"/>
          <w:lang w:val="en-US"/>
        </w:rPr>
        <w:tab/>
        <w:t>Ophthalmol.</w:t>
      </w:r>
      <w:r w:rsidRPr="00446EE2">
        <w:rPr>
          <w:rFonts w:ascii="Calibri" w:eastAsia="Calibri" w:hAnsi="Calibri" w:cs="Calibri"/>
          <w:sz w:val="20"/>
          <w:lang w:val="en-US"/>
        </w:rPr>
        <w:tab/>
        <w:t>—</w:t>
      </w:r>
      <w:r w:rsidRPr="00446EE2">
        <w:rPr>
          <w:rFonts w:ascii="Calibri" w:eastAsia="Calibri" w:hAnsi="Calibri" w:cs="Calibri"/>
          <w:sz w:val="20"/>
          <w:lang w:val="en-US"/>
        </w:rPr>
        <w:tab/>
        <w:t>2003.</w:t>
      </w:r>
      <w:r w:rsidRPr="00446EE2">
        <w:rPr>
          <w:rFonts w:ascii="Calibri" w:eastAsia="Calibri" w:hAnsi="Calibri" w:cs="Calibri"/>
          <w:sz w:val="20"/>
          <w:lang w:val="en-US"/>
        </w:rPr>
        <w:tab/>
        <w:t>—</w:t>
      </w:r>
      <w:r w:rsidRPr="00446EE2">
        <w:rPr>
          <w:rFonts w:ascii="Calibri" w:eastAsia="Calibri" w:hAnsi="Calibri" w:cs="Calibri"/>
          <w:sz w:val="20"/>
          <w:lang w:val="en-US"/>
        </w:rPr>
        <w:tab/>
        <w:t>Vol.</w:t>
      </w:r>
      <w:r w:rsidRPr="00446EE2">
        <w:rPr>
          <w:rFonts w:ascii="Calibri" w:eastAsia="Calibri" w:hAnsi="Calibri" w:cs="Calibri"/>
          <w:sz w:val="20"/>
          <w:lang w:val="en-US"/>
        </w:rPr>
        <w:tab/>
        <w:t>13</w:t>
      </w:r>
      <w:r w:rsidRPr="00446EE2">
        <w:rPr>
          <w:rFonts w:ascii="Calibri" w:eastAsia="Calibri" w:hAnsi="Calibri" w:cs="Calibri"/>
          <w:sz w:val="20"/>
          <w:lang w:val="en-US"/>
        </w:rPr>
        <w:tab/>
        <w:t>(6).</w:t>
      </w:r>
    </w:p>
    <w:p w14:paraId="2ED35213" w14:textId="77777777" w:rsidR="00F230B1" w:rsidRDefault="00F5593C">
      <w:pPr>
        <w:numPr>
          <w:ilvl w:val="0"/>
          <w:numId w:val="2"/>
        </w:numPr>
        <w:spacing w:after="272" w:line="265" w:lineRule="auto"/>
        <w:ind w:right="38" w:hanging="284"/>
      </w:pPr>
      <w:proofErr w:type="gramStart"/>
      <w:r w:rsidRPr="00446EE2">
        <w:rPr>
          <w:rFonts w:ascii="Calibri" w:eastAsia="Calibri" w:hAnsi="Calibri" w:cs="Calibri"/>
          <w:i/>
          <w:sz w:val="20"/>
          <w:lang w:val="en-US"/>
        </w:rPr>
        <w:t>Watson  P.</w:t>
      </w:r>
      <w:proofErr w:type="gramEnd"/>
      <w:r w:rsidRPr="00446EE2">
        <w:rPr>
          <w:rFonts w:ascii="Calibri" w:eastAsia="Calibri" w:hAnsi="Calibri" w:cs="Calibri"/>
          <w:i/>
          <w:sz w:val="20"/>
          <w:lang w:val="en-US"/>
        </w:rPr>
        <w:t>,  Stjernschantz J.</w:t>
      </w:r>
      <w:r w:rsidRPr="00446EE2">
        <w:rPr>
          <w:rFonts w:ascii="Calibri" w:eastAsia="Calibri" w:hAnsi="Calibri" w:cs="Calibri"/>
          <w:sz w:val="20"/>
          <w:lang w:val="en-US"/>
        </w:rPr>
        <w:tab/>
        <w:t>The</w:t>
      </w:r>
      <w:r w:rsidRPr="00446EE2">
        <w:rPr>
          <w:rFonts w:ascii="Calibri" w:eastAsia="Calibri" w:hAnsi="Calibri" w:cs="Calibri"/>
          <w:sz w:val="20"/>
          <w:lang w:val="en-US"/>
        </w:rPr>
        <w:tab/>
        <w:t>latanoprost</w:t>
      </w:r>
      <w:r w:rsidRPr="00446EE2">
        <w:rPr>
          <w:rFonts w:ascii="Calibri" w:eastAsia="Calibri" w:hAnsi="Calibri" w:cs="Calibri"/>
          <w:sz w:val="20"/>
          <w:lang w:val="en-US"/>
        </w:rPr>
        <w:tab/>
        <w:t>Study</w:t>
      </w:r>
      <w:r w:rsidRPr="00446EE2">
        <w:rPr>
          <w:rFonts w:ascii="Calibri" w:eastAsia="Calibri" w:hAnsi="Calibri" w:cs="Calibri"/>
          <w:sz w:val="20"/>
          <w:lang w:val="en-US"/>
        </w:rPr>
        <w:tab/>
        <w:t>Group</w:t>
      </w:r>
      <w:r w:rsidRPr="00446EE2">
        <w:rPr>
          <w:rFonts w:ascii="Calibri" w:eastAsia="Calibri" w:hAnsi="Calibri" w:cs="Calibri"/>
          <w:sz w:val="20"/>
          <w:lang w:val="en-US"/>
        </w:rPr>
        <w:tab/>
        <w:t>in</w:t>
      </w:r>
      <w:r w:rsidRPr="00446EE2">
        <w:rPr>
          <w:rFonts w:ascii="Calibri" w:eastAsia="Calibri" w:hAnsi="Calibri" w:cs="Calibri"/>
          <w:sz w:val="20"/>
          <w:lang w:val="en-US"/>
        </w:rPr>
        <w:tab/>
        <w:t>United</w:t>
      </w:r>
      <w:r w:rsidRPr="00446EE2">
        <w:rPr>
          <w:rFonts w:ascii="Calibri" w:eastAsia="Calibri" w:hAnsi="Calibri" w:cs="Calibri"/>
          <w:sz w:val="20"/>
          <w:lang w:val="en-US"/>
        </w:rPr>
        <w:tab/>
        <w:t>Kingdom:</w:t>
      </w:r>
      <w:r w:rsidRPr="00446EE2">
        <w:rPr>
          <w:rFonts w:ascii="Calibri" w:eastAsia="Calibri" w:hAnsi="Calibri" w:cs="Calibri"/>
          <w:sz w:val="20"/>
          <w:lang w:val="en-US"/>
        </w:rPr>
        <w:tab/>
        <w:t>A</w:t>
      </w:r>
      <w:r w:rsidRPr="00446EE2">
        <w:rPr>
          <w:rFonts w:ascii="Calibri" w:eastAsia="Calibri" w:hAnsi="Calibri" w:cs="Calibri"/>
          <w:sz w:val="20"/>
          <w:lang w:val="en-US"/>
        </w:rPr>
        <w:tab/>
        <w:t>six</w:t>
      </w:r>
      <w:r w:rsidRPr="00446EE2">
        <w:rPr>
          <w:rFonts w:ascii="Calibri" w:eastAsia="Calibri" w:hAnsi="Calibri" w:cs="Calibri"/>
          <w:sz w:val="20"/>
          <w:lang w:val="en-US"/>
        </w:rPr>
        <w:tab/>
        <w:t>month</w:t>
      </w:r>
      <w:r w:rsidRPr="00446EE2">
        <w:rPr>
          <w:rFonts w:ascii="Calibri" w:eastAsia="Calibri" w:hAnsi="Calibri" w:cs="Calibri"/>
          <w:sz w:val="20"/>
          <w:lang w:val="en-US"/>
        </w:rPr>
        <w:tab/>
        <w:t>randomized,</w:t>
      </w:r>
      <w:r w:rsidRPr="00446EE2">
        <w:rPr>
          <w:rFonts w:ascii="Calibri" w:eastAsia="Calibri" w:hAnsi="Calibri" w:cs="Calibri"/>
          <w:sz w:val="20"/>
          <w:lang w:val="en-US"/>
        </w:rPr>
        <w:tab/>
        <w:t>double-masked</w:t>
      </w:r>
      <w:r w:rsidRPr="00446EE2">
        <w:rPr>
          <w:rFonts w:ascii="Calibri" w:eastAsia="Calibri" w:hAnsi="Calibri" w:cs="Calibri"/>
          <w:sz w:val="20"/>
          <w:lang w:val="en-US"/>
        </w:rPr>
        <w:tab/>
        <w:t>study</w:t>
      </w:r>
      <w:r w:rsidRPr="00446EE2">
        <w:rPr>
          <w:rFonts w:ascii="Calibri" w:eastAsia="Calibri" w:hAnsi="Calibri" w:cs="Calibri"/>
          <w:sz w:val="20"/>
          <w:lang w:val="en-US"/>
        </w:rPr>
        <w:tab/>
        <w:t>comparing</w:t>
      </w:r>
      <w:r w:rsidRPr="00446EE2">
        <w:rPr>
          <w:rFonts w:ascii="Calibri" w:eastAsia="Calibri" w:hAnsi="Calibri" w:cs="Calibri"/>
          <w:sz w:val="20"/>
          <w:lang w:val="en-US"/>
        </w:rPr>
        <w:tab/>
        <w:t>latanoprost</w:t>
      </w:r>
      <w:r w:rsidRPr="00446EE2">
        <w:rPr>
          <w:rFonts w:ascii="Calibri" w:eastAsia="Calibri" w:hAnsi="Calibri" w:cs="Calibri"/>
          <w:sz w:val="20"/>
          <w:lang w:val="en-US"/>
        </w:rPr>
        <w:tab/>
        <w:t>to</w:t>
      </w:r>
      <w:r w:rsidRPr="00446EE2">
        <w:rPr>
          <w:rFonts w:ascii="Calibri" w:eastAsia="Calibri" w:hAnsi="Calibri" w:cs="Calibri"/>
          <w:sz w:val="20"/>
          <w:lang w:val="en-US"/>
        </w:rPr>
        <w:tab/>
        <w:t>timolol</w:t>
      </w:r>
      <w:r w:rsidRPr="00446EE2">
        <w:rPr>
          <w:rFonts w:ascii="Calibri" w:eastAsia="Calibri" w:hAnsi="Calibri" w:cs="Calibri"/>
          <w:sz w:val="20"/>
          <w:lang w:val="en-US"/>
        </w:rPr>
        <w:tab/>
        <w:t>in</w:t>
      </w:r>
      <w:r w:rsidRPr="00446EE2">
        <w:rPr>
          <w:rFonts w:ascii="Calibri" w:eastAsia="Calibri" w:hAnsi="Calibri" w:cs="Calibri"/>
          <w:sz w:val="20"/>
          <w:lang w:val="en-US"/>
        </w:rPr>
        <w:tab/>
        <w:t>ope</w:t>
      </w:r>
      <w:r w:rsidRPr="00446EE2">
        <w:rPr>
          <w:rFonts w:ascii="Calibri" w:eastAsia="Calibri" w:hAnsi="Calibri" w:cs="Calibri"/>
          <w:sz w:val="20"/>
          <w:lang w:val="en-US"/>
        </w:rPr>
        <w:t>n</w:t>
      </w:r>
      <w:r w:rsidRPr="00446EE2">
        <w:rPr>
          <w:rFonts w:ascii="Calibri" w:eastAsia="Calibri" w:hAnsi="Calibri" w:cs="Calibri"/>
          <w:sz w:val="20"/>
          <w:lang w:val="en-US"/>
        </w:rPr>
        <w:tab/>
        <w:t>angle</w:t>
      </w:r>
      <w:r w:rsidRPr="00446EE2">
        <w:rPr>
          <w:rFonts w:ascii="Calibri" w:eastAsia="Calibri" w:hAnsi="Calibri" w:cs="Calibri"/>
          <w:sz w:val="20"/>
          <w:lang w:val="en-US"/>
        </w:rPr>
        <w:tab/>
        <w:t>glaucoma</w:t>
      </w:r>
      <w:r w:rsidRPr="00446EE2">
        <w:rPr>
          <w:rFonts w:ascii="Calibri" w:eastAsia="Calibri" w:hAnsi="Calibri" w:cs="Calibri"/>
          <w:sz w:val="20"/>
          <w:lang w:val="en-US"/>
        </w:rPr>
        <w:tab/>
        <w:t>and</w:t>
      </w:r>
      <w:r w:rsidRPr="00446EE2">
        <w:rPr>
          <w:rFonts w:ascii="Calibri" w:eastAsia="Calibri" w:hAnsi="Calibri" w:cs="Calibri"/>
          <w:sz w:val="20"/>
          <w:lang w:val="en-US"/>
        </w:rPr>
        <w:tab/>
        <w:t>ocular</w:t>
      </w:r>
      <w:r w:rsidRPr="00446EE2">
        <w:rPr>
          <w:rFonts w:ascii="Calibri" w:eastAsia="Calibri" w:hAnsi="Calibri" w:cs="Calibri"/>
          <w:sz w:val="20"/>
          <w:lang w:val="en-US"/>
        </w:rPr>
        <w:tab/>
        <w:t>hypertension.</w:t>
      </w:r>
      <w:r w:rsidRPr="00446EE2">
        <w:rPr>
          <w:rFonts w:ascii="Calibri" w:eastAsia="Calibri" w:hAnsi="Calibri" w:cs="Calibri"/>
          <w:sz w:val="20"/>
          <w:lang w:val="en-US"/>
        </w:rPr>
        <w:tab/>
      </w:r>
      <w:r>
        <w:rPr>
          <w:rFonts w:ascii="Calibri" w:eastAsia="Calibri" w:hAnsi="Calibri" w:cs="Calibri"/>
          <w:sz w:val="20"/>
        </w:rPr>
        <w:t>Ophthalmology.</w:t>
      </w:r>
      <w:r>
        <w:rPr>
          <w:rFonts w:ascii="Calibri" w:eastAsia="Calibri" w:hAnsi="Calibri" w:cs="Calibri"/>
          <w:sz w:val="20"/>
        </w:rPr>
        <w:tab/>
        <w:t>—</w:t>
      </w:r>
      <w:r>
        <w:rPr>
          <w:rFonts w:ascii="Calibri" w:eastAsia="Calibri" w:hAnsi="Calibri" w:cs="Calibri"/>
          <w:sz w:val="20"/>
        </w:rPr>
        <w:tab/>
        <w:t>1995.</w:t>
      </w:r>
      <w:r>
        <w:rPr>
          <w:rFonts w:ascii="Calibri" w:eastAsia="Calibri" w:hAnsi="Calibri" w:cs="Calibri"/>
          <w:sz w:val="20"/>
        </w:rPr>
        <w:tab/>
        <w:t>—</w:t>
      </w:r>
      <w:r>
        <w:rPr>
          <w:rFonts w:ascii="Calibri" w:eastAsia="Calibri" w:hAnsi="Calibri" w:cs="Calibri"/>
          <w:sz w:val="20"/>
        </w:rPr>
        <w:tab/>
        <w:t>Vol.</w:t>
      </w:r>
      <w:r>
        <w:rPr>
          <w:rFonts w:ascii="Calibri" w:eastAsia="Calibri" w:hAnsi="Calibri" w:cs="Calibri"/>
          <w:sz w:val="20"/>
        </w:rPr>
        <w:tab/>
        <w:t>103.</w:t>
      </w:r>
      <w:r>
        <w:rPr>
          <w:rFonts w:ascii="Calibri" w:eastAsia="Calibri" w:hAnsi="Calibri" w:cs="Calibri"/>
          <w:sz w:val="20"/>
        </w:rPr>
        <w:tab/>
        <w:t>—</w:t>
      </w:r>
      <w:r>
        <w:rPr>
          <w:rFonts w:ascii="Calibri" w:eastAsia="Calibri" w:hAnsi="Calibri" w:cs="Calibri"/>
          <w:sz w:val="20"/>
        </w:rPr>
        <w:tab/>
        <w:t>P.</w:t>
      </w:r>
      <w:r>
        <w:rPr>
          <w:rFonts w:ascii="Calibri" w:eastAsia="Calibri" w:hAnsi="Calibri" w:cs="Calibri"/>
          <w:sz w:val="20"/>
        </w:rPr>
        <w:tab/>
        <w:t>126–137.</w:t>
      </w:r>
    </w:p>
    <w:p w14:paraId="7C007E76" w14:textId="77777777" w:rsidR="00F230B1" w:rsidRPr="00446EE2" w:rsidRDefault="00F5593C">
      <w:pPr>
        <w:pStyle w:val="2"/>
        <w:spacing w:after="257"/>
        <w:ind w:left="-5"/>
        <w:rPr>
          <w:lang w:val="en-US"/>
        </w:rPr>
      </w:pPr>
      <w:r w:rsidRPr="00446EE2">
        <w:rPr>
          <w:lang w:val="en-US"/>
        </w:rPr>
        <w:t>the eValuatIon of “glaumax” pressure-lowerIng effect</w:t>
      </w:r>
    </w:p>
    <w:p w14:paraId="3A0073B9" w14:textId="77777777" w:rsidR="00F230B1" w:rsidRPr="00446EE2" w:rsidRDefault="00F5593C">
      <w:pPr>
        <w:spacing w:after="275" w:line="251" w:lineRule="auto"/>
        <w:ind w:firstLine="0"/>
        <w:jc w:val="left"/>
        <w:rPr>
          <w:lang w:val="en-US"/>
        </w:rPr>
      </w:pPr>
      <w:r w:rsidRPr="00446EE2">
        <w:rPr>
          <w:i/>
          <w:lang w:val="en-US"/>
        </w:rPr>
        <w:t>Astakhov Yu. S., Sokolov V. O., Morozova N. V., Novikov D. P.</w:t>
      </w:r>
    </w:p>
    <w:p w14:paraId="3E64479D" w14:textId="77777777" w:rsidR="00F230B1" w:rsidRPr="00446EE2" w:rsidRDefault="00F5593C">
      <w:pPr>
        <w:spacing w:after="271"/>
        <w:ind w:left="-14" w:right="37"/>
        <w:rPr>
          <w:lang w:val="en-US"/>
        </w:rPr>
      </w:pPr>
      <w:r w:rsidRPr="00446EE2">
        <w:rPr>
          <w:b/>
          <w:lang w:val="en-US"/>
        </w:rPr>
        <w:lastRenderedPageBreak/>
        <w:t xml:space="preserve">Summary. </w:t>
      </w:r>
      <w:r w:rsidRPr="00446EE2">
        <w:rPr>
          <w:lang w:val="en-US"/>
        </w:rPr>
        <w:t>When choosing a medication, a physician h</w:t>
      </w:r>
      <w:r w:rsidRPr="00446EE2">
        <w:rPr>
          <w:lang w:val="en-US"/>
        </w:rPr>
        <w:t>as to be sure of  its efficacy and safety for the patient. Carrying out of multiple post-clinical studies of different aspects of medication use is intended to help clinicians to correctly appreciate the capacities of proposed medications. The objective of</w:t>
      </w:r>
      <w:r w:rsidRPr="00446EE2">
        <w:rPr>
          <w:lang w:val="en-US"/>
        </w:rPr>
        <w:t xml:space="preserve"> this study is to evaluate the pressure-lowering effect of latanoprost 0.005 % - “Glaumax” according to the data of different tonometry methods at different baseline IOP levels and to compare the IOP-lowering effects of timolol 0.5 % and Glaumax. The press</w:t>
      </w:r>
      <w:r w:rsidRPr="00446EE2">
        <w:rPr>
          <w:lang w:val="en-US"/>
        </w:rPr>
        <w:t xml:space="preserve">ure  lowering effect in the Glaumax group </w:t>
      </w:r>
      <w:r w:rsidRPr="00446EE2">
        <w:rPr>
          <w:lang w:val="en-US"/>
        </w:rPr>
        <w:t>significantly exceeds that of the timolol 0.5 % group regardless of IOP measurement method, at comparable baseline IOP level. In the group with higher baseline IOP level, the IOP decrease in % from baseline was hig</w:t>
      </w:r>
      <w:r w:rsidRPr="00446EE2">
        <w:rPr>
          <w:lang w:val="en-US"/>
        </w:rPr>
        <w:t>her. Mean IOP-lowering effect for Glaumax in the present study is comparable to the data of multicenter studies and meta-analyses carried out for the original “Xalatan” medication.</w:t>
      </w:r>
    </w:p>
    <w:p w14:paraId="281C2FD9" w14:textId="77777777" w:rsidR="00F230B1" w:rsidRPr="00446EE2" w:rsidRDefault="00F5593C">
      <w:pPr>
        <w:ind w:left="-14" w:right="37"/>
        <w:rPr>
          <w:lang w:val="en-US"/>
        </w:rPr>
      </w:pPr>
      <w:r w:rsidRPr="00446EE2">
        <w:rPr>
          <w:b/>
          <w:lang w:val="en-US"/>
        </w:rPr>
        <w:t>Key words:</w:t>
      </w:r>
      <w:r w:rsidRPr="00446EE2">
        <w:rPr>
          <w:lang w:val="en-US"/>
        </w:rPr>
        <w:t xml:space="preserve"> prostaglandin analogs; Glaumax; Xalatan; I-care; Pascal tonomete</w:t>
      </w:r>
      <w:r w:rsidRPr="00446EE2">
        <w:rPr>
          <w:lang w:val="en-US"/>
        </w:rPr>
        <w:t>r; generic prostaglandin analogs.</w:t>
      </w:r>
    </w:p>
    <w:p w14:paraId="5C645B31" w14:textId="77777777" w:rsidR="00F230B1" w:rsidRPr="00446EE2" w:rsidRDefault="00F230B1">
      <w:pPr>
        <w:rPr>
          <w:lang w:val="en-US"/>
        </w:rPr>
        <w:sectPr w:rsidR="00F230B1" w:rsidRPr="00446EE2">
          <w:type w:val="continuous"/>
          <w:pgSz w:w="12189" w:h="17008"/>
          <w:pgMar w:top="1263" w:right="850" w:bottom="760" w:left="850" w:header="720" w:footer="720" w:gutter="0"/>
          <w:cols w:num="2" w:space="192"/>
        </w:sectPr>
      </w:pPr>
    </w:p>
    <w:p w14:paraId="110B4BF5" w14:textId="77777777" w:rsidR="00F230B1" w:rsidRDefault="00F5593C">
      <w:pPr>
        <w:spacing w:after="0" w:line="259" w:lineRule="auto"/>
        <w:ind w:firstLine="0"/>
        <w:jc w:val="left"/>
      </w:pPr>
      <w:r>
        <w:rPr>
          <w:i/>
          <w:sz w:val="18"/>
        </w:rPr>
        <w:t>Сведения об авторах:</w:t>
      </w:r>
    </w:p>
    <w:p w14:paraId="796DB1B8" w14:textId="77777777" w:rsidR="00F230B1" w:rsidRDefault="00F5593C">
      <w:pPr>
        <w:spacing w:after="107" w:line="259" w:lineRule="auto"/>
        <w:ind w:right="-157" w:firstLine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F4A5790" wp14:editId="620E2C71">
                <wp:extent cx="6479997" cy="6350"/>
                <wp:effectExtent l="0" t="0" r="0" b="0"/>
                <wp:docPr id="5190" name="Group 5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7" cy="6350"/>
                          <a:chOff x="0" y="0"/>
                          <a:chExt cx="6479997" cy="6350"/>
                        </a:xfrm>
                      </wpg:grpSpPr>
                      <wps:wsp>
                        <wps:cNvPr id="633" name="Shape 633"/>
                        <wps:cNvSpPr/>
                        <wps:spPr>
                          <a:xfrm>
                            <a:off x="0" y="0"/>
                            <a:ext cx="64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7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90" style="width:510.236pt;height:0.5pt;mso-position-horizontal-relative:char;mso-position-vertical-relative:line" coordsize="64799,63">
                <v:shape id="Shape 633" style="position:absolute;width:64799;height:0;left:0;top:0;" coordsize="6479997,0" path="m0,0l6479997,0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185" w:type="dxa"/>
        <w:tblInd w:w="0" w:type="dxa"/>
        <w:tblCellMar>
          <w:top w:w="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22"/>
        <w:gridCol w:w="4963"/>
      </w:tblGrid>
      <w:tr w:rsidR="00F230B1" w14:paraId="40E5194F" w14:textId="77777777">
        <w:trPr>
          <w:trHeight w:val="873"/>
        </w:trPr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</w:tcPr>
          <w:p w14:paraId="0047D722" w14:textId="77777777" w:rsidR="00F230B1" w:rsidRDefault="00F5593C">
            <w:pPr>
              <w:spacing w:after="0" w:line="259" w:lineRule="auto"/>
              <w:ind w:right="120" w:firstLine="0"/>
            </w:pPr>
            <w:r>
              <w:rPr>
                <w:b/>
                <w:sz w:val="18"/>
              </w:rPr>
              <w:t>Астахов Юрий Сергеевич</w:t>
            </w:r>
            <w:r>
              <w:rPr>
                <w:sz w:val="18"/>
              </w:rPr>
              <w:t xml:space="preserve"> — д. м. н., профессор, заведующий кафедрой офтальмологии. Кафедра офтальмологии. СПбГМУ им. акад. И. П. Павлова. 197022, Санкт-Петербург, ул. Л. Толстого, д. 6–8, корпус 16. E-mail: astakhov73@mail.ru.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</w:tcPr>
          <w:p w14:paraId="5F14ED6B" w14:textId="77777777" w:rsidR="00F230B1" w:rsidRDefault="00F5593C">
            <w:pPr>
              <w:spacing w:after="0" w:line="259" w:lineRule="auto"/>
              <w:ind w:left="15" w:firstLine="0"/>
              <w:jc w:val="left"/>
            </w:pPr>
            <w:r w:rsidRPr="00446EE2">
              <w:rPr>
                <w:b/>
                <w:sz w:val="18"/>
                <w:lang w:val="en-US"/>
              </w:rPr>
              <w:t>Astakhov Yury Sergeevich</w:t>
            </w:r>
            <w:r w:rsidRPr="00446EE2">
              <w:rPr>
                <w:sz w:val="18"/>
                <w:lang w:val="en-US"/>
              </w:rPr>
              <w:t xml:space="preserve"> — MD, doctor of medical scie</w:t>
            </w:r>
            <w:r w:rsidRPr="00446EE2">
              <w:rPr>
                <w:sz w:val="18"/>
                <w:lang w:val="en-US"/>
              </w:rPr>
              <w:t xml:space="preserve">nce, </w:t>
            </w:r>
            <w:proofErr w:type="gramStart"/>
            <w:r w:rsidRPr="00446EE2">
              <w:rPr>
                <w:sz w:val="18"/>
                <w:lang w:val="en-US"/>
              </w:rPr>
              <w:t>professor,  head</w:t>
            </w:r>
            <w:proofErr w:type="gramEnd"/>
            <w:r w:rsidRPr="00446EE2">
              <w:rPr>
                <w:sz w:val="18"/>
                <w:lang w:val="en-US"/>
              </w:rPr>
              <w:t xml:space="preserve"> of the department. Department of Ophthalmology. I. P. Pavlov State Medical University. 197022, Saint-Petersburg, Lev Tolstoy st.,  6–8, building 16. </w:t>
            </w:r>
            <w:r>
              <w:rPr>
                <w:sz w:val="18"/>
              </w:rPr>
              <w:t>E-mail: astakhov73@mail.ru.</w:t>
            </w:r>
          </w:p>
        </w:tc>
      </w:tr>
      <w:tr w:rsidR="00F230B1" w14:paraId="51B47DF8" w14:textId="77777777">
        <w:trPr>
          <w:trHeight w:val="903"/>
        </w:trPr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</w:tcPr>
          <w:p w14:paraId="3008C218" w14:textId="77777777" w:rsidR="00F230B1" w:rsidRDefault="00F5593C">
            <w:pPr>
              <w:spacing w:after="4" w:line="249" w:lineRule="auto"/>
              <w:ind w:right="289" w:firstLine="0"/>
            </w:pPr>
            <w:r>
              <w:rPr>
                <w:b/>
                <w:sz w:val="18"/>
              </w:rPr>
              <w:t xml:space="preserve">Соколов Виталий Олегович </w:t>
            </w:r>
            <w:r>
              <w:rPr>
                <w:sz w:val="18"/>
              </w:rPr>
              <w:t>— к. м. н., главный врач. Диагн</w:t>
            </w:r>
            <w:r>
              <w:rPr>
                <w:sz w:val="18"/>
              </w:rPr>
              <w:t xml:space="preserve">остический центр № 7 (глазной) для взрослого и детского населения. 191028, Санкт-Петербург, Моховая ул., д. 38.  </w:t>
            </w:r>
          </w:p>
          <w:p w14:paraId="5B0AD6C1" w14:textId="77777777" w:rsidR="00F230B1" w:rsidRDefault="00F5593C">
            <w:p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>E-mail: tav vos50@rambler.ru.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</w:tcPr>
          <w:p w14:paraId="49DD8141" w14:textId="77777777" w:rsidR="00F230B1" w:rsidRDefault="00F5593C">
            <w:pPr>
              <w:spacing w:after="0" w:line="259" w:lineRule="auto"/>
              <w:ind w:left="15" w:firstLine="0"/>
              <w:jc w:val="left"/>
            </w:pPr>
            <w:r w:rsidRPr="00446EE2">
              <w:rPr>
                <w:b/>
                <w:sz w:val="18"/>
                <w:lang w:val="en-US"/>
              </w:rPr>
              <w:t xml:space="preserve">Sokolov Vitaly Olegovich </w:t>
            </w:r>
            <w:r w:rsidRPr="00446EE2">
              <w:rPr>
                <w:sz w:val="18"/>
                <w:lang w:val="en-US"/>
              </w:rPr>
              <w:t xml:space="preserve">— candidate of medical science, ophthalmologist, head of the center. Diagnostic center </w:t>
            </w:r>
            <w:r w:rsidRPr="00446EE2">
              <w:rPr>
                <w:sz w:val="18"/>
                <w:lang w:val="en-US"/>
              </w:rPr>
              <w:t xml:space="preserve">№ 7 (ophthalmological) for adults and children, 191028, St. Petersburg, Mokhovaya str., 38. </w:t>
            </w:r>
            <w:r>
              <w:rPr>
                <w:sz w:val="18"/>
              </w:rPr>
              <w:t>E-mail: tavvos50@rambler.ru.</w:t>
            </w:r>
          </w:p>
        </w:tc>
      </w:tr>
      <w:tr w:rsidR="00F230B1" w:rsidRPr="00446EE2" w14:paraId="44A5BAEE" w14:textId="77777777">
        <w:trPr>
          <w:trHeight w:val="1097"/>
        </w:trPr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</w:tcPr>
          <w:p w14:paraId="14516764" w14:textId="77777777" w:rsidR="00F230B1" w:rsidRDefault="00F5593C">
            <w:pPr>
              <w:spacing w:after="0" w:line="249" w:lineRule="auto"/>
              <w:ind w:right="180" w:firstLine="0"/>
              <w:jc w:val="left"/>
            </w:pPr>
            <w:r>
              <w:rPr>
                <w:b/>
                <w:sz w:val="18"/>
              </w:rPr>
              <w:t>Морозова Наталья Владимировна</w:t>
            </w:r>
            <w:r>
              <w:rPr>
                <w:sz w:val="18"/>
              </w:rPr>
              <w:t xml:space="preserve"> — к. м. н., заместитель главного врача по медицинской части. Диагностический центр № 7 (глазной) для взрослого и детского населения.  191028, Санкт-Петербург, Моховая ул., д. 38.  </w:t>
            </w:r>
          </w:p>
          <w:p w14:paraId="11F82812" w14:textId="77777777" w:rsidR="00F230B1" w:rsidRPr="00446EE2" w:rsidRDefault="00F5593C">
            <w:pPr>
              <w:spacing w:after="0" w:line="259" w:lineRule="auto"/>
              <w:ind w:firstLine="0"/>
              <w:jc w:val="left"/>
              <w:rPr>
                <w:lang w:val="en-US"/>
              </w:rPr>
            </w:pPr>
            <w:r w:rsidRPr="00446EE2">
              <w:rPr>
                <w:sz w:val="18"/>
                <w:lang w:val="en-US"/>
              </w:rPr>
              <w:t>E-mail: morozova_dc@mail.ru.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</w:tcPr>
          <w:p w14:paraId="7825EB9D" w14:textId="77777777" w:rsidR="00F230B1" w:rsidRPr="00446EE2" w:rsidRDefault="00F5593C">
            <w:pPr>
              <w:spacing w:after="0" w:line="249" w:lineRule="auto"/>
              <w:ind w:left="15" w:firstLine="0"/>
              <w:jc w:val="left"/>
              <w:rPr>
                <w:lang w:val="en-US"/>
              </w:rPr>
            </w:pPr>
            <w:r w:rsidRPr="00446EE2">
              <w:rPr>
                <w:b/>
                <w:sz w:val="18"/>
                <w:lang w:val="en-US"/>
              </w:rPr>
              <w:t>Morozova Natalia Vladimirovna</w:t>
            </w:r>
            <w:r w:rsidRPr="00446EE2">
              <w:rPr>
                <w:sz w:val="18"/>
                <w:lang w:val="en-US"/>
              </w:rPr>
              <w:t xml:space="preserve"> — candidate of </w:t>
            </w:r>
            <w:r w:rsidRPr="00446EE2">
              <w:rPr>
                <w:sz w:val="18"/>
                <w:lang w:val="en-US"/>
              </w:rPr>
              <w:t xml:space="preserve">medical science, deputy head of the center, Diagnostic center № 7 (ophthalmological) for adults and children,  </w:t>
            </w:r>
          </w:p>
          <w:p w14:paraId="61CCE543" w14:textId="77777777" w:rsidR="00F230B1" w:rsidRPr="00446EE2" w:rsidRDefault="00F5593C">
            <w:pPr>
              <w:spacing w:after="0" w:line="259" w:lineRule="auto"/>
              <w:ind w:left="15" w:firstLine="0"/>
              <w:jc w:val="left"/>
              <w:rPr>
                <w:lang w:val="en-US"/>
              </w:rPr>
            </w:pPr>
            <w:r w:rsidRPr="00446EE2">
              <w:rPr>
                <w:sz w:val="18"/>
                <w:lang w:val="en-US"/>
              </w:rPr>
              <w:t xml:space="preserve">191028, St.Petersburg, Mokhovaya str., 38.  </w:t>
            </w:r>
          </w:p>
          <w:p w14:paraId="0C8425AB" w14:textId="77777777" w:rsidR="00F230B1" w:rsidRPr="00446EE2" w:rsidRDefault="00F5593C">
            <w:pPr>
              <w:spacing w:after="0" w:line="259" w:lineRule="auto"/>
              <w:ind w:left="15" w:firstLine="0"/>
              <w:jc w:val="left"/>
              <w:rPr>
                <w:lang w:val="en-US"/>
              </w:rPr>
            </w:pPr>
            <w:r w:rsidRPr="00446EE2">
              <w:rPr>
                <w:sz w:val="18"/>
                <w:lang w:val="en-US"/>
              </w:rPr>
              <w:t>E-mail: morozova_dc@mail.ru.</w:t>
            </w:r>
          </w:p>
        </w:tc>
      </w:tr>
    </w:tbl>
    <w:p w14:paraId="250123F0" w14:textId="77777777" w:rsidR="00F230B1" w:rsidRDefault="00F5593C">
      <w:pPr>
        <w:spacing w:after="0" w:line="250" w:lineRule="auto"/>
        <w:ind w:firstLine="0"/>
        <w:jc w:val="left"/>
      </w:pPr>
      <w:r>
        <w:rPr>
          <w:b/>
          <w:sz w:val="18"/>
        </w:rPr>
        <w:t>Новиков Денис Павлович</w:t>
      </w:r>
      <w:r>
        <w:rPr>
          <w:sz w:val="18"/>
        </w:rPr>
        <w:t xml:space="preserve"> — врач-офтальмолог. Диагностический</w:t>
      </w:r>
      <w:r w:rsidRPr="00446EE2">
        <w:rPr>
          <w:sz w:val="18"/>
          <w:lang w:val="en-US"/>
        </w:rPr>
        <w:t xml:space="preserve"> </w:t>
      </w:r>
      <w:r w:rsidRPr="00446EE2">
        <w:rPr>
          <w:b/>
          <w:sz w:val="18"/>
          <w:lang w:val="en-US"/>
        </w:rPr>
        <w:t>Novikov Denis Pavlovich</w:t>
      </w:r>
      <w:r w:rsidRPr="00446EE2">
        <w:rPr>
          <w:sz w:val="18"/>
          <w:lang w:val="en-US"/>
        </w:rPr>
        <w:t xml:space="preserve"> — ophthalmologist. Diagnostic center </w:t>
      </w:r>
      <w:r>
        <w:rPr>
          <w:sz w:val="18"/>
        </w:rPr>
        <w:t>центр</w:t>
      </w:r>
      <w:r w:rsidRPr="00446EE2">
        <w:rPr>
          <w:sz w:val="18"/>
          <w:lang w:val="en-US"/>
        </w:rPr>
        <w:t xml:space="preserve"> № 7 (</w:t>
      </w:r>
      <w:r>
        <w:rPr>
          <w:sz w:val="18"/>
        </w:rPr>
        <w:t>глазной</w:t>
      </w:r>
      <w:r w:rsidRPr="00446EE2">
        <w:rPr>
          <w:sz w:val="18"/>
          <w:lang w:val="en-US"/>
        </w:rPr>
        <w:t xml:space="preserve">) </w:t>
      </w:r>
      <w:r>
        <w:rPr>
          <w:sz w:val="18"/>
        </w:rPr>
        <w:t>для</w:t>
      </w:r>
      <w:r w:rsidRPr="00446EE2">
        <w:rPr>
          <w:sz w:val="18"/>
          <w:lang w:val="en-US"/>
        </w:rPr>
        <w:t xml:space="preserve"> </w:t>
      </w:r>
      <w:r>
        <w:rPr>
          <w:sz w:val="18"/>
        </w:rPr>
        <w:t>взрослого</w:t>
      </w:r>
      <w:r w:rsidRPr="00446EE2">
        <w:rPr>
          <w:sz w:val="18"/>
          <w:lang w:val="en-US"/>
        </w:rPr>
        <w:t xml:space="preserve"> </w:t>
      </w:r>
      <w:r>
        <w:rPr>
          <w:sz w:val="18"/>
        </w:rPr>
        <w:t>и</w:t>
      </w:r>
      <w:r w:rsidRPr="00446EE2">
        <w:rPr>
          <w:sz w:val="18"/>
          <w:lang w:val="en-US"/>
        </w:rPr>
        <w:t xml:space="preserve"> </w:t>
      </w:r>
      <w:r>
        <w:rPr>
          <w:sz w:val="18"/>
        </w:rPr>
        <w:t>детского</w:t>
      </w:r>
      <w:r w:rsidRPr="00446EE2">
        <w:rPr>
          <w:sz w:val="18"/>
          <w:lang w:val="en-US"/>
        </w:rPr>
        <w:t xml:space="preserve"> </w:t>
      </w:r>
      <w:r>
        <w:rPr>
          <w:sz w:val="18"/>
        </w:rPr>
        <w:t>населения</w:t>
      </w:r>
      <w:r w:rsidRPr="00446EE2">
        <w:rPr>
          <w:sz w:val="18"/>
          <w:lang w:val="en-US"/>
        </w:rPr>
        <w:t xml:space="preserve">.  </w:t>
      </w:r>
      <w:r w:rsidRPr="00446EE2">
        <w:rPr>
          <w:sz w:val="18"/>
          <w:lang w:val="en-US"/>
        </w:rPr>
        <w:tab/>
        <w:t xml:space="preserve">№ 7 (ophthalmological) for adults and </w:t>
      </w:r>
      <w:proofErr w:type="gramStart"/>
      <w:r w:rsidRPr="00446EE2">
        <w:rPr>
          <w:sz w:val="18"/>
          <w:lang w:val="en-US"/>
        </w:rPr>
        <w:t>children,  191028</w:t>
      </w:r>
      <w:proofErr w:type="gramEnd"/>
      <w:r w:rsidRPr="00446EE2">
        <w:rPr>
          <w:sz w:val="18"/>
          <w:lang w:val="en-US"/>
        </w:rPr>
        <w:t xml:space="preserve">, </w:t>
      </w:r>
      <w:r>
        <w:rPr>
          <w:sz w:val="18"/>
        </w:rPr>
        <w:t>Санкт</w:t>
      </w:r>
      <w:r w:rsidRPr="00446EE2">
        <w:rPr>
          <w:sz w:val="18"/>
          <w:lang w:val="en-US"/>
        </w:rPr>
        <w:t>-</w:t>
      </w:r>
      <w:r>
        <w:rPr>
          <w:sz w:val="18"/>
        </w:rPr>
        <w:t>Петербург</w:t>
      </w:r>
      <w:r w:rsidRPr="00446EE2">
        <w:rPr>
          <w:sz w:val="18"/>
          <w:lang w:val="en-US"/>
        </w:rPr>
        <w:t xml:space="preserve">, </w:t>
      </w:r>
      <w:r>
        <w:rPr>
          <w:sz w:val="18"/>
        </w:rPr>
        <w:t>Моховая</w:t>
      </w:r>
      <w:r w:rsidRPr="00446EE2">
        <w:rPr>
          <w:sz w:val="18"/>
          <w:lang w:val="en-US"/>
        </w:rPr>
        <w:t xml:space="preserve"> </w:t>
      </w:r>
      <w:r>
        <w:rPr>
          <w:sz w:val="18"/>
        </w:rPr>
        <w:t>ул</w:t>
      </w:r>
      <w:r w:rsidRPr="00446EE2">
        <w:rPr>
          <w:sz w:val="18"/>
          <w:lang w:val="en-US"/>
        </w:rPr>
        <w:t xml:space="preserve">., </w:t>
      </w:r>
      <w:r>
        <w:rPr>
          <w:sz w:val="18"/>
        </w:rPr>
        <w:t>д</w:t>
      </w:r>
      <w:r w:rsidRPr="00446EE2">
        <w:rPr>
          <w:sz w:val="18"/>
          <w:lang w:val="en-US"/>
        </w:rPr>
        <w:t xml:space="preserve">. 38. </w:t>
      </w:r>
      <w:r w:rsidRPr="00446EE2">
        <w:rPr>
          <w:sz w:val="18"/>
          <w:lang w:val="en-US"/>
        </w:rPr>
        <w:tab/>
      </w:r>
      <w:r>
        <w:rPr>
          <w:sz w:val="18"/>
        </w:rPr>
        <w:t>19102</w:t>
      </w:r>
      <w:r>
        <w:rPr>
          <w:sz w:val="18"/>
        </w:rPr>
        <w:t xml:space="preserve">8, St.Petersburg, Mokhovaya str., 38. </w:t>
      </w:r>
    </w:p>
    <w:sectPr w:rsidR="00F230B1">
      <w:type w:val="continuous"/>
      <w:pgSz w:w="12189" w:h="17008"/>
      <w:pgMar w:top="1263" w:right="1007" w:bottom="13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592817" w14:textId="77777777" w:rsidR="00F5593C" w:rsidRDefault="00F5593C">
      <w:pPr>
        <w:spacing w:after="0" w:line="240" w:lineRule="auto"/>
      </w:pPr>
      <w:r>
        <w:separator/>
      </w:r>
    </w:p>
  </w:endnote>
  <w:endnote w:type="continuationSeparator" w:id="0">
    <w:p w14:paraId="75A487BC" w14:textId="77777777" w:rsidR="00F5593C" w:rsidRDefault="00F55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0B429" w14:textId="77777777" w:rsidR="00F230B1" w:rsidRDefault="00F230B1">
    <w:pPr>
      <w:spacing w:after="160"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F8644" w14:textId="77777777" w:rsidR="00F230B1" w:rsidRDefault="00F5593C">
    <w:pPr>
      <w:tabs>
        <w:tab w:val="center" w:pos="3600"/>
        <w:tab w:val="center" w:pos="4320"/>
        <w:tab w:val="center" w:pos="5808"/>
        <w:tab w:val="right" w:pos="10205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6D83D53" wp14:editId="30B55386">
              <wp:simplePos x="0" y="0"/>
              <wp:positionH relativeFrom="page">
                <wp:posOffset>720000</wp:posOffset>
              </wp:positionH>
              <wp:positionV relativeFrom="page">
                <wp:posOffset>10119061</wp:posOffset>
              </wp:positionV>
              <wp:extent cx="6479997" cy="6350"/>
              <wp:effectExtent l="0" t="0" r="0" b="0"/>
              <wp:wrapSquare wrapText="bothSides"/>
              <wp:docPr id="7388" name="Group 73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997" cy="6350"/>
                        <a:chOff x="0" y="0"/>
                        <a:chExt cx="6479997" cy="6350"/>
                      </a:xfrm>
                    </wpg:grpSpPr>
                    <wps:wsp>
                      <wps:cNvPr id="7389" name="Shape 7389"/>
                      <wps:cNvSpPr/>
                      <wps:spPr>
                        <a:xfrm>
                          <a:off x="0" y="0"/>
                          <a:ext cx="64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9997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88" style="width:510.236pt;height:0.5pt;position:absolute;mso-position-horizontal-relative:page;mso-position-horizontal:absolute;margin-left:56.6929pt;mso-position-vertical-relative:page;margin-top:796.776pt;" coordsize="64799,63">
              <v:shape id="Shape 7389" style="position:absolute;width:64799;height:0;left:0;top:0;" coordsize="6479997,0" path="m0,0l6479997,0">
                <v:stroke weight="0.5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Segoe UI Symbol" w:eastAsia="Segoe UI Symbol" w:hAnsi="Segoe UI Symbol" w:cs="Segoe UI Symbol"/>
        <w:sz w:val="26"/>
      </w:rPr>
      <w:t>G</w:t>
    </w:r>
    <w:r>
      <w:rPr>
        <w:rFonts w:ascii="Segoe UI Symbol" w:eastAsia="Segoe UI Symbol" w:hAnsi="Segoe UI Symbol" w:cs="Segoe UI Symbol"/>
        <w:sz w:val="20"/>
      </w:rPr>
      <w:t xml:space="preserve"> </w:t>
    </w:r>
    <w:r>
      <w:rPr>
        <w:rFonts w:ascii="Calibri" w:eastAsia="Calibri" w:hAnsi="Calibri" w:cs="Calibri"/>
        <w:b/>
        <w:sz w:val="20"/>
      </w:rPr>
      <w:t>ОфтальмОлОгические ведОмОсти</w:t>
    </w: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  <w:r>
      <w:rPr>
        <w:sz w:val="20"/>
      </w:rPr>
      <w:tab/>
    </w:r>
    <w:r>
      <w:rPr>
        <w:sz w:val="20"/>
      </w:rPr>
      <w:t xml:space="preserve">Том </w:t>
    </w:r>
    <w:proofErr w:type="gramStart"/>
    <w:r>
      <w:rPr>
        <w:sz w:val="20"/>
      </w:rPr>
      <w:t>VI  №</w:t>
    </w:r>
    <w:proofErr w:type="gramEnd"/>
    <w:r>
      <w:rPr>
        <w:sz w:val="20"/>
      </w:rPr>
      <w:t xml:space="preserve"> 3  2013 </w:t>
    </w:r>
    <w:r>
      <w:rPr>
        <w:sz w:val="20"/>
      </w:rPr>
      <w:tab/>
      <w:t>ISSN 1998-7102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BDC8D" w14:textId="77777777" w:rsidR="00F230B1" w:rsidRDefault="00F5593C">
    <w:pPr>
      <w:tabs>
        <w:tab w:val="center" w:pos="3600"/>
        <w:tab w:val="center" w:pos="4320"/>
        <w:tab w:val="center" w:pos="5808"/>
        <w:tab w:val="right" w:pos="10205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520243" wp14:editId="602DA239">
              <wp:simplePos x="0" y="0"/>
              <wp:positionH relativeFrom="page">
                <wp:posOffset>720000</wp:posOffset>
              </wp:positionH>
              <wp:positionV relativeFrom="page">
                <wp:posOffset>10119061</wp:posOffset>
              </wp:positionV>
              <wp:extent cx="6479997" cy="6350"/>
              <wp:effectExtent l="0" t="0" r="0" b="0"/>
              <wp:wrapSquare wrapText="bothSides"/>
              <wp:docPr id="7361" name="Group 73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997" cy="6350"/>
                        <a:chOff x="0" y="0"/>
                        <a:chExt cx="6479997" cy="6350"/>
                      </a:xfrm>
                    </wpg:grpSpPr>
                    <wps:wsp>
                      <wps:cNvPr id="7362" name="Shape 7362"/>
                      <wps:cNvSpPr/>
                      <wps:spPr>
                        <a:xfrm>
                          <a:off x="0" y="0"/>
                          <a:ext cx="64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9997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61" style="width:510.236pt;height:0.5pt;position:absolute;mso-position-horizontal-relative:page;mso-position-horizontal:absolute;margin-left:56.6929pt;mso-position-vertical-relative:page;margin-top:796.776pt;" coordsize="64799,63">
              <v:shape id="Shape 7362" style="position:absolute;width:64799;height:0;left:0;top:0;" coordsize="6479997,0" path="m0,0l6479997,0">
                <v:stroke weight="0.5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Segoe UI Symbol" w:eastAsia="Segoe UI Symbol" w:hAnsi="Segoe UI Symbol" w:cs="Segoe UI Symbol"/>
        <w:sz w:val="26"/>
      </w:rPr>
      <w:t>G</w:t>
    </w:r>
    <w:r>
      <w:rPr>
        <w:rFonts w:ascii="Segoe UI Symbol" w:eastAsia="Segoe UI Symbol" w:hAnsi="Segoe UI Symbol" w:cs="Segoe UI Symbol"/>
        <w:sz w:val="20"/>
      </w:rPr>
      <w:t xml:space="preserve"> </w:t>
    </w:r>
    <w:r>
      <w:rPr>
        <w:rFonts w:ascii="Calibri" w:eastAsia="Calibri" w:hAnsi="Calibri" w:cs="Calibri"/>
        <w:b/>
        <w:sz w:val="20"/>
      </w:rPr>
      <w:t>ОфтальмОлОгические ведОмОсти</w:t>
    </w: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Том </w:t>
    </w:r>
    <w:proofErr w:type="gramStart"/>
    <w:r>
      <w:rPr>
        <w:sz w:val="20"/>
      </w:rPr>
      <w:t>VI  №</w:t>
    </w:r>
    <w:proofErr w:type="gramEnd"/>
    <w:r>
      <w:rPr>
        <w:sz w:val="20"/>
      </w:rPr>
      <w:t xml:space="preserve"> 3  2013 </w:t>
    </w:r>
    <w:r>
      <w:rPr>
        <w:sz w:val="20"/>
      </w:rPr>
      <w:tab/>
      <w:t>ISSN 1998-7102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B013F" w14:textId="77777777" w:rsidR="00F5593C" w:rsidRDefault="00F5593C">
      <w:pPr>
        <w:spacing w:after="0" w:line="240" w:lineRule="auto"/>
      </w:pPr>
      <w:r>
        <w:separator/>
      </w:r>
    </w:p>
  </w:footnote>
  <w:footnote w:type="continuationSeparator" w:id="0">
    <w:p w14:paraId="5F2B2740" w14:textId="77777777" w:rsidR="00F5593C" w:rsidRDefault="00F55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6042E" w14:textId="77777777" w:rsidR="00F230B1" w:rsidRDefault="00F230B1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78CC0" w14:textId="77777777" w:rsidR="00F230B1" w:rsidRDefault="00F5593C">
    <w:pPr>
      <w:tabs>
        <w:tab w:val="right" w:pos="10205"/>
      </w:tabs>
      <w:spacing w:after="0" w:line="259" w:lineRule="auto"/>
      <w:ind w:left="-6" w:firstLine="0"/>
      <w:jc w:val="left"/>
    </w:pPr>
    <w:r>
      <w:rPr>
        <w:rFonts w:ascii="Calibri" w:eastAsia="Calibri" w:hAnsi="Calibri" w:cs="Calibri"/>
        <w:b/>
        <w:sz w:val="20"/>
        <w:u w:val="single" w:color="181717"/>
      </w:rPr>
      <w:t>вОпрОсы ОфтальмОфармакОлОгии</w:t>
    </w:r>
    <w:r>
      <w:rPr>
        <w:rFonts w:ascii="Calibri" w:eastAsia="Calibri" w:hAnsi="Calibri" w:cs="Calibri"/>
        <w:b/>
        <w:sz w:val="20"/>
        <w:u w:val="single" w:color="181717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0"/>
        <w:u w:val="single" w:color="181717"/>
      </w:rPr>
      <w:t>75</w:t>
    </w:r>
    <w:r>
      <w:rPr>
        <w:rFonts w:ascii="Calibri" w:eastAsia="Calibri" w:hAnsi="Calibri" w:cs="Calibri"/>
        <w:b/>
        <w:sz w:val="20"/>
        <w:u w:val="single" w:color="181717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9E0AF" w14:textId="77777777" w:rsidR="00F230B1" w:rsidRDefault="00F5593C">
    <w:pPr>
      <w:tabs>
        <w:tab w:val="right" w:pos="10205"/>
      </w:tabs>
      <w:spacing w:after="0" w:line="259" w:lineRule="auto"/>
      <w:ind w:left="-6" w:firstLine="0"/>
      <w:jc w:val="left"/>
    </w:pPr>
    <w:r>
      <w:rPr>
        <w:rFonts w:ascii="Calibri" w:eastAsia="Calibri" w:hAnsi="Calibri" w:cs="Calibri"/>
        <w:b/>
        <w:sz w:val="20"/>
        <w:u w:val="single" w:color="181717"/>
      </w:rPr>
      <w:t>вОпрОсы ОфтальмОфармакОлОгии</w:t>
    </w:r>
    <w:r>
      <w:rPr>
        <w:rFonts w:ascii="Calibri" w:eastAsia="Calibri" w:hAnsi="Calibri" w:cs="Calibri"/>
        <w:b/>
        <w:sz w:val="20"/>
        <w:u w:val="single" w:color="181717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0"/>
        <w:u w:val="single" w:color="181717"/>
      </w:rPr>
      <w:t>75</w:t>
    </w:r>
    <w:r>
      <w:rPr>
        <w:rFonts w:ascii="Calibri" w:eastAsia="Calibri" w:hAnsi="Calibri" w:cs="Calibri"/>
        <w:b/>
        <w:sz w:val="20"/>
        <w:u w:val="single" w:color="181717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A25B7"/>
    <w:multiLevelType w:val="hybridMultilevel"/>
    <w:tmpl w:val="27DC7F76"/>
    <w:lvl w:ilvl="0" w:tplc="374EF69C">
      <w:start w:val="1"/>
      <w:numFmt w:val="decimal"/>
      <w:lvlText w:val="%1."/>
      <w:lvlJc w:val="left"/>
      <w:pPr>
        <w:ind w:left="55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B2E18E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56F05E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8090BC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2064E2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7EE820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82BD8A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7ADA50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9CFCDE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DE5B49"/>
    <w:multiLevelType w:val="hybridMultilevel"/>
    <w:tmpl w:val="A7E8F0DC"/>
    <w:lvl w:ilvl="0" w:tplc="E7A06BE6">
      <w:start w:val="1"/>
      <w:numFmt w:val="decimal"/>
      <w:lvlText w:val="%1"/>
      <w:lvlJc w:val="left"/>
      <w:pPr>
        <w:ind w:left="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F3AA76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717618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717C17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27B00B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DC6A81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53348B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1BF036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7D8AAC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0B1"/>
    <w:rsid w:val="00446EE2"/>
    <w:rsid w:val="00F230B1"/>
    <w:rsid w:val="00F5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A0B16"/>
  <w15:docId w15:val="{9EB3782B-5849-4DF8-9291-1AEA41EC6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55" w:lineRule="auto"/>
      <w:ind w:firstLine="274"/>
      <w:jc w:val="both"/>
    </w:pPr>
    <w:rPr>
      <w:rFonts w:ascii="Times New Roman" w:eastAsia="Times New Roman" w:hAnsi="Times New Roman" w:cs="Times New Roman"/>
      <w:color w:val="181717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56"/>
      <w:outlineLvl w:val="0"/>
    </w:pPr>
    <w:rPr>
      <w:rFonts w:ascii="Calibri" w:eastAsia="Calibri" w:hAnsi="Calibri" w:cs="Calibri"/>
      <w:b/>
      <w:color w:val="181717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" w:line="249" w:lineRule="auto"/>
      <w:ind w:left="294" w:hanging="10"/>
      <w:outlineLvl w:val="1"/>
    </w:pPr>
    <w:rPr>
      <w:rFonts w:ascii="Calibri" w:eastAsia="Calibri" w:hAnsi="Calibri" w:cs="Calibri"/>
      <w:b/>
      <w:color w:val="1817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181717"/>
      <w:sz w:val="2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2261</Words>
  <Characters>12891</Characters>
  <Application>Microsoft Office Word</Application>
  <DocSecurity>0</DocSecurity>
  <Lines>107</Lines>
  <Paragraphs>30</Paragraphs>
  <ScaleCrop>false</ScaleCrop>
  <Company/>
  <LinksUpToDate>false</LinksUpToDate>
  <CharactersWithSpaces>15122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Эрика Буржуева</dc:creator>
  <cp:keywords/>
  <cp:lastModifiedBy>Эрика Буржуева</cp:lastModifiedBy>
  <cp:revision>2</cp:revision>
  <dcterms:created xsi:type="dcterms:W3CDTF">2020-06-25T15:50:00Z</dcterms:created>
  <dcterms:modified xsi:type="dcterms:W3CDTF">2020-06-25T15:50:00Z</dcterms:modified>
</cp:coreProperties>
</file>