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1095" w14:textId="55ADF7A8" w:rsidR="00BA500B" w:rsidRPr="00B91B74" w:rsidRDefault="001D6799" w:rsidP="00A87307">
      <w:pPr>
        <w:ind w:left="3145" w:right="1427" w:hanging="337"/>
        <w:rPr>
          <w:b/>
        </w:rPr>
      </w:pPr>
      <w:r w:rsidRPr="00B91B74">
        <w:rPr>
          <w:noProof/>
        </w:rPr>
        <w:drawing>
          <wp:anchor distT="0" distB="0" distL="114300" distR="114300" simplePos="0" relativeHeight="251661312" behindDoc="0" locked="0" layoutInCell="1" allowOverlap="1" wp14:anchorId="30565310" wp14:editId="6E70BA94">
            <wp:simplePos x="0" y="0"/>
            <wp:positionH relativeFrom="column">
              <wp:posOffset>3316501</wp:posOffset>
            </wp:positionH>
            <wp:positionV relativeFrom="paragraph">
              <wp:posOffset>-197959</wp:posOffset>
            </wp:positionV>
            <wp:extent cx="2432050" cy="861351"/>
            <wp:effectExtent l="0" t="0" r="635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861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AF08F" w14:textId="1DACAF4A" w:rsidR="00BA500B" w:rsidRPr="00B91B74" w:rsidRDefault="00BA500B" w:rsidP="00A87307">
      <w:pPr>
        <w:ind w:left="3145" w:right="1427" w:hanging="337"/>
        <w:rPr>
          <w:b/>
        </w:rPr>
      </w:pPr>
    </w:p>
    <w:p w14:paraId="17FB5BEB" w14:textId="0E02C4B9" w:rsidR="00BA500B" w:rsidRPr="00B91B74" w:rsidRDefault="000533A2" w:rsidP="00A87307">
      <w:pPr>
        <w:ind w:left="3145" w:right="1427" w:hanging="337"/>
        <w:rPr>
          <w:b/>
        </w:rPr>
      </w:pPr>
      <w:r w:rsidRPr="00B91B74">
        <w:rPr>
          <w:noProof/>
        </w:rPr>
        <w:drawing>
          <wp:anchor distT="0" distB="0" distL="114300" distR="114300" simplePos="0" relativeHeight="251663360" behindDoc="0" locked="0" layoutInCell="1" allowOverlap="1" wp14:anchorId="4F88014C" wp14:editId="69C97003">
            <wp:simplePos x="0" y="0"/>
            <wp:positionH relativeFrom="column">
              <wp:posOffset>3452495</wp:posOffset>
            </wp:positionH>
            <wp:positionV relativeFrom="page">
              <wp:posOffset>1508760</wp:posOffset>
            </wp:positionV>
            <wp:extent cx="2305050" cy="97980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2022B" w14:textId="77777777" w:rsidR="00BA500B" w:rsidRPr="00B91B74" w:rsidRDefault="00BA500B" w:rsidP="00A87307">
      <w:pPr>
        <w:ind w:left="3145" w:right="1427" w:hanging="337"/>
        <w:rPr>
          <w:b/>
        </w:rPr>
      </w:pPr>
    </w:p>
    <w:p w14:paraId="6519DD26" w14:textId="6DBC3690" w:rsidR="001D6799" w:rsidRPr="00B91B74" w:rsidRDefault="001D6799" w:rsidP="00A87307">
      <w:pPr>
        <w:ind w:left="3145" w:right="1427" w:hanging="337"/>
        <w:rPr>
          <w:b/>
        </w:rPr>
      </w:pPr>
    </w:p>
    <w:p w14:paraId="68861C55" w14:textId="12E14D5E" w:rsidR="002540DD" w:rsidRPr="00276488" w:rsidRDefault="002540DD" w:rsidP="00A87307">
      <w:pPr>
        <w:ind w:right="-1"/>
        <w:jc w:val="center"/>
        <w:rPr>
          <w:bCs/>
          <w:sz w:val="28"/>
          <w:szCs w:val="28"/>
        </w:rPr>
      </w:pPr>
    </w:p>
    <w:p w14:paraId="6861CEE9" w14:textId="796C5F39" w:rsidR="00CA0FC5" w:rsidRDefault="00CA0FC5" w:rsidP="00A87307">
      <w:pPr>
        <w:ind w:right="-1"/>
        <w:jc w:val="center"/>
        <w:rPr>
          <w:bCs/>
          <w:sz w:val="28"/>
          <w:szCs w:val="28"/>
        </w:rPr>
      </w:pPr>
    </w:p>
    <w:p w14:paraId="4D8DF542" w14:textId="5A06C003" w:rsidR="00276488" w:rsidRDefault="00276488" w:rsidP="00A87307">
      <w:pPr>
        <w:ind w:right="-1"/>
        <w:jc w:val="center"/>
        <w:rPr>
          <w:bCs/>
          <w:sz w:val="28"/>
          <w:szCs w:val="28"/>
        </w:rPr>
      </w:pPr>
    </w:p>
    <w:p w14:paraId="50012787" w14:textId="77777777" w:rsidR="00276488" w:rsidRPr="00276488" w:rsidRDefault="00276488" w:rsidP="00A87307">
      <w:pPr>
        <w:ind w:right="-1"/>
        <w:jc w:val="center"/>
        <w:rPr>
          <w:bCs/>
          <w:sz w:val="28"/>
          <w:szCs w:val="28"/>
        </w:rPr>
      </w:pPr>
    </w:p>
    <w:p w14:paraId="2C45D71E" w14:textId="3B50F25E" w:rsidR="001D6799" w:rsidRDefault="001D6799" w:rsidP="00A87307">
      <w:pPr>
        <w:ind w:right="-1"/>
        <w:jc w:val="center"/>
        <w:rPr>
          <w:bCs/>
          <w:sz w:val="28"/>
          <w:szCs w:val="28"/>
        </w:rPr>
      </w:pPr>
    </w:p>
    <w:p w14:paraId="2B6ECE26" w14:textId="54E76504" w:rsidR="00A87307" w:rsidRDefault="00A87307" w:rsidP="00A87307">
      <w:pPr>
        <w:ind w:right="-1"/>
        <w:jc w:val="center"/>
        <w:rPr>
          <w:bCs/>
          <w:sz w:val="28"/>
          <w:szCs w:val="28"/>
        </w:rPr>
      </w:pPr>
    </w:p>
    <w:p w14:paraId="4C1B22CB" w14:textId="4812A581" w:rsidR="00A87307" w:rsidRDefault="00A87307" w:rsidP="00A87307">
      <w:pPr>
        <w:ind w:right="-1"/>
        <w:jc w:val="center"/>
        <w:rPr>
          <w:bCs/>
          <w:sz w:val="28"/>
          <w:szCs w:val="28"/>
        </w:rPr>
      </w:pPr>
    </w:p>
    <w:p w14:paraId="0E6424F3" w14:textId="32EA4503" w:rsidR="00A87307" w:rsidRDefault="00A87307" w:rsidP="00A87307">
      <w:pPr>
        <w:ind w:right="-1"/>
        <w:jc w:val="center"/>
        <w:rPr>
          <w:bCs/>
          <w:sz w:val="28"/>
          <w:szCs w:val="28"/>
        </w:rPr>
      </w:pPr>
    </w:p>
    <w:p w14:paraId="6066498C" w14:textId="4F20684F" w:rsidR="00A87307" w:rsidRDefault="00A87307" w:rsidP="00A87307">
      <w:pPr>
        <w:ind w:right="-1"/>
        <w:jc w:val="center"/>
        <w:rPr>
          <w:bCs/>
          <w:sz w:val="28"/>
          <w:szCs w:val="28"/>
        </w:rPr>
      </w:pPr>
    </w:p>
    <w:p w14:paraId="294E807B" w14:textId="43A3CA19" w:rsidR="00A87307" w:rsidRDefault="00A87307" w:rsidP="00A87307">
      <w:pPr>
        <w:ind w:right="-1"/>
        <w:jc w:val="center"/>
        <w:rPr>
          <w:bCs/>
          <w:sz w:val="28"/>
          <w:szCs w:val="28"/>
        </w:rPr>
      </w:pPr>
    </w:p>
    <w:p w14:paraId="7D8CEBA2" w14:textId="22389BCA" w:rsidR="00A87307" w:rsidRDefault="00A87307" w:rsidP="00A87307">
      <w:pPr>
        <w:ind w:right="-1"/>
        <w:jc w:val="center"/>
        <w:rPr>
          <w:bCs/>
          <w:sz w:val="28"/>
          <w:szCs w:val="28"/>
        </w:rPr>
      </w:pPr>
    </w:p>
    <w:p w14:paraId="70BD6A9F" w14:textId="2DB05897" w:rsidR="00A87307" w:rsidRDefault="00A87307" w:rsidP="00A87307">
      <w:pPr>
        <w:ind w:right="-1"/>
        <w:jc w:val="center"/>
        <w:rPr>
          <w:bCs/>
          <w:sz w:val="28"/>
          <w:szCs w:val="28"/>
        </w:rPr>
      </w:pPr>
    </w:p>
    <w:p w14:paraId="61435206" w14:textId="6EAEA0B8" w:rsidR="00A87307" w:rsidRDefault="00A87307" w:rsidP="00A87307">
      <w:pPr>
        <w:ind w:right="-1"/>
        <w:jc w:val="center"/>
        <w:rPr>
          <w:bCs/>
          <w:sz w:val="28"/>
          <w:szCs w:val="28"/>
        </w:rPr>
      </w:pPr>
    </w:p>
    <w:p w14:paraId="3C58AC4E" w14:textId="77777777" w:rsidR="00A87307" w:rsidRPr="00276488" w:rsidRDefault="00A87307" w:rsidP="00A87307">
      <w:pPr>
        <w:ind w:right="-1"/>
        <w:jc w:val="center"/>
        <w:rPr>
          <w:bCs/>
          <w:sz w:val="28"/>
          <w:szCs w:val="28"/>
        </w:rPr>
      </w:pPr>
    </w:p>
    <w:p w14:paraId="0E5A6B59" w14:textId="7B2642C0" w:rsidR="000C2653" w:rsidRPr="00B91B74" w:rsidRDefault="001D6799" w:rsidP="00A87307">
      <w:pPr>
        <w:ind w:right="65"/>
        <w:jc w:val="center"/>
        <w:rPr>
          <w:sz w:val="28"/>
          <w:szCs w:val="28"/>
        </w:rPr>
      </w:pPr>
      <w:r w:rsidRPr="00B91B74">
        <w:rPr>
          <w:b/>
          <w:sz w:val="28"/>
          <w:szCs w:val="28"/>
        </w:rPr>
        <w:t>ИНСТРУКЦИЯ ПО ПРИМЕНЕНИЮ МЕДИЦИНСКОГО</w:t>
      </w:r>
      <w:r w:rsidR="00EE25E7" w:rsidRPr="00B91B74">
        <w:rPr>
          <w:b/>
          <w:sz w:val="28"/>
          <w:szCs w:val="28"/>
        </w:rPr>
        <w:t xml:space="preserve"> </w:t>
      </w:r>
      <w:r w:rsidRPr="00B91B74">
        <w:rPr>
          <w:b/>
          <w:sz w:val="28"/>
          <w:szCs w:val="28"/>
        </w:rPr>
        <w:t>ИЗДЕЛИЯ</w:t>
      </w:r>
    </w:p>
    <w:p w14:paraId="2E80A184" w14:textId="0EFA6063" w:rsidR="000C2653" w:rsidRPr="00B91B74" w:rsidRDefault="007E52D9" w:rsidP="00A87307">
      <w:pPr>
        <w:jc w:val="center"/>
        <w:rPr>
          <w:b/>
          <w:sz w:val="28"/>
          <w:szCs w:val="28"/>
        </w:rPr>
      </w:pPr>
      <w:r w:rsidRPr="00B91B74">
        <w:rPr>
          <w:b/>
          <w:sz w:val="28"/>
          <w:szCs w:val="28"/>
        </w:rPr>
        <w:t xml:space="preserve">Набор реагентов для </w:t>
      </w:r>
      <w:proofErr w:type="spellStart"/>
      <w:r w:rsidRPr="00B91B74">
        <w:rPr>
          <w:b/>
          <w:sz w:val="28"/>
          <w:szCs w:val="28"/>
        </w:rPr>
        <w:t>иммунохроматографического</w:t>
      </w:r>
      <w:proofErr w:type="spellEnd"/>
      <w:r w:rsidRPr="00B91B74">
        <w:rPr>
          <w:b/>
          <w:sz w:val="28"/>
          <w:szCs w:val="28"/>
        </w:rPr>
        <w:t xml:space="preserve"> выявления антигена SARS-CoV-2 на основе коллоидного золота в образцах мазков из носа и слюне человека «WANTAI SARS-CoV-2 </w:t>
      </w:r>
      <w:proofErr w:type="spellStart"/>
      <w:r w:rsidRPr="00B91B74">
        <w:rPr>
          <w:b/>
          <w:sz w:val="28"/>
          <w:szCs w:val="28"/>
        </w:rPr>
        <w:t>Ag</w:t>
      </w:r>
      <w:proofErr w:type="spellEnd"/>
      <w:r w:rsidRPr="00B91B74">
        <w:rPr>
          <w:b/>
          <w:sz w:val="28"/>
          <w:szCs w:val="28"/>
        </w:rPr>
        <w:t xml:space="preserve"> </w:t>
      </w:r>
      <w:proofErr w:type="spellStart"/>
      <w:r w:rsidRPr="00B91B74">
        <w:rPr>
          <w:b/>
          <w:sz w:val="28"/>
          <w:szCs w:val="28"/>
        </w:rPr>
        <w:t>Rapid</w:t>
      </w:r>
      <w:proofErr w:type="spellEnd"/>
      <w:r w:rsidRPr="00B91B74">
        <w:rPr>
          <w:b/>
          <w:sz w:val="28"/>
          <w:szCs w:val="28"/>
        </w:rPr>
        <w:t xml:space="preserve"> </w:t>
      </w:r>
      <w:proofErr w:type="spellStart"/>
      <w:r w:rsidRPr="00B91B74">
        <w:rPr>
          <w:b/>
          <w:sz w:val="28"/>
          <w:szCs w:val="28"/>
        </w:rPr>
        <w:t>Test</w:t>
      </w:r>
      <w:proofErr w:type="spellEnd"/>
      <w:r w:rsidRPr="00B91B74">
        <w:rPr>
          <w:b/>
          <w:sz w:val="28"/>
          <w:szCs w:val="28"/>
        </w:rPr>
        <w:t xml:space="preserve"> (</w:t>
      </w:r>
      <w:proofErr w:type="spellStart"/>
      <w:r w:rsidRPr="00B91B74">
        <w:rPr>
          <w:b/>
          <w:sz w:val="28"/>
          <w:szCs w:val="28"/>
        </w:rPr>
        <w:t>Colloidal</w:t>
      </w:r>
      <w:proofErr w:type="spellEnd"/>
      <w:r w:rsidRPr="00B91B74">
        <w:rPr>
          <w:b/>
          <w:sz w:val="28"/>
          <w:szCs w:val="28"/>
        </w:rPr>
        <w:t xml:space="preserve"> </w:t>
      </w:r>
      <w:proofErr w:type="spellStart"/>
      <w:r w:rsidRPr="00B91B74">
        <w:rPr>
          <w:b/>
          <w:sz w:val="28"/>
          <w:szCs w:val="28"/>
        </w:rPr>
        <w:t>Gold</w:t>
      </w:r>
      <w:proofErr w:type="spellEnd"/>
      <w:r w:rsidRPr="00B91B74">
        <w:rPr>
          <w:b/>
          <w:sz w:val="28"/>
          <w:szCs w:val="28"/>
        </w:rPr>
        <w:t xml:space="preserve">)», </w:t>
      </w:r>
      <w:proofErr w:type="spellStart"/>
      <w:r w:rsidRPr="00B91B74">
        <w:rPr>
          <w:b/>
          <w:sz w:val="28"/>
          <w:szCs w:val="28"/>
        </w:rPr>
        <w:t>Lot</w:t>
      </w:r>
      <w:proofErr w:type="spellEnd"/>
      <w:r w:rsidRPr="00B91B74">
        <w:rPr>
          <w:b/>
          <w:sz w:val="28"/>
          <w:szCs w:val="28"/>
        </w:rPr>
        <w:t xml:space="preserve"> JNR20210801</w:t>
      </w:r>
    </w:p>
    <w:p w14:paraId="17C10F96" w14:textId="35E7D2D8" w:rsidR="00DB66DE" w:rsidRPr="00B91B74" w:rsidRDefault="00DB66DE" w:rsidP="00A87307">
      <w:pPr>
        <w:jc w:val="center"/>
        <w:rPr>
          <w:bCs/>
          <w:sz w:val="28"/>
          <w:szCs w:val="28"/>
        </w:rPr>
      </w:pPr>
    </w:p>
    <w:p w14:paraId="19906996" w14:textId="542F4D0C" w:rsidR="00656653" w:rsidRPr="00B91B74" w:rsidRDefault="00656653" w:rsidP="00A87307">
      <w:pPr>
        <w:jc w:val="center"/>
        <w:rPr>
          <w:bCs/>
          <w:sz w:val="28"/>
          <w:szCs w:val="28"/>
        </w:rPr>
      </w:pPr>
    </w:p>
    <w:p w14:paraId="5E78856C" w14:textId="50A37A11" w:rsidR="00656653" w:rsidRPr="00B91B74" w:rsidRDefault="00656653" w:rsidP="00A87307">
      <w:pPr>
        <w:jc w:val="center"/>
        <w:rPr>
          <w:bCs/>
          <w:sz w:val="28"/>
          <w:szCs w:val="28"/>
        </w:rPr>
      </w:pPr>
    </w:p>
    <w:p w14:paraId="2A8EC55B" w14:textId="4235EC1B" w:rsidR="00656653" w:rsidRPr="00B91B74" w:rsidRDefault="00656653" w:rsidP="00A87307">
      <w:pPr>
        <w:jc w:val="center"/>
        <w:rPr>
          <w:bCs/>
          <w:sz w:val="28"/>
          <w:szCs w:val="28"/>
        </w:rPr>
      </w:pPr>
    </w:p>
    <w:p w14:paraId="29AF9C8E" w14:textId="5115B7C5" w:rsidR="00656653" w:rsidRPr="00B91B74" w:rsidRDefault="00656653" w:rsidP="00A87307">
      <w:pPr>
        <w:jc w:val="center"/>
        <w:rPr>
          <w:bCs/>
          <w:sz w:val="28"/>
          <w:szCs w:val="28"/>
        </w:rPr>
      </w:pPr>
    </w:p>
    <w:p w14:paraId="65207A81" w14:textId="2A088A98" w:rsidR="00656653" w:rsidRPr="00B91B74" w:rsidRDefault="00656653" w:rsidP="00A87307">
      <w:pPr>
        <w:jc w:val="center"/>
        <w:rPr>
          <w:bCs/>
          <w:sz w:val="28"/>
          <w:szCs w:val="28"/>
        </w:rPr>
      </w:pPr>
    </w:p>
    <w:p w14:paraId="24B9B9FE" w14:textId="77777777" w:rsidR="00656653" w:rsidRPr="00B91B74" w:rsidRDefault="00656653" w:rsidP="00A87307">
      <w:pPr>
        <w:jc w:val="center"/>
        <w:rPr>
          <w:bCs/>
          <w:sz w:val="28"/>
          <w:szCs w:val="28"/>
        </w:rPr>
      </w:pPr>
    </w:p>
    <w:p w14:paraId="647F9DAB" w14:textId="77777777" w:rsidR="00DB66DE" w:rsidRPr="00B91B74" w:rsidRDefault="00DB66DE" w:rsidP="00A87307">
      <w:pPr>
        <w:jc w:val="center"/>
        <w:rPr>
          <w:bCs/>
          <w:sz w:val="28"/>
          <w:szCs w:val="28"/>
        </w:rPr>
      </w:pPr>
    </w:p>
    <w:p w14:paraId="2090108D" w14:textId="77777777" w:rsidR="00CE7F55" w:rsidRPr="00B91B74" w:rsidRDefault="00CE7F55" w:rsidP="00A87307">
      <w:pPr>
        <w:jc w:val="center"/>
        <w:rPr>
          <w:bCs/>
          <w:sz w:val="28"/>
          <w:szCs w:val="28"/>
        </w:rPr>
      </w:pPr>
    </w:p>
    <w:p w14:paraId="5999AFE7" w14:textId="77777777" w:rsidR="00CE7F55" w:rsidRPr="00B91B74" w:rsidRDefault="00CE7F55" w:rsidP="00A87307">
      <w:pPr>
        <w:jc w:val="center"/>
        <w:rPr>
          <w:bCs/>
          <w:sz w:val="28"/>
          <w:szCs w:val="28"/>
        </w:rPr>
      </w:pPr>
    </w:p>
    <w:p w14:paraId="6BDD98E2" w14:textId="77777777" w:rsidR="00CE7F55" w:rsidRPr="00B91B74" w:rsidRDefault="00CE7F55" w:rsidP="00A87307">
      <w:pPr>
        <w:jc w:val="center"/>
        <w:rPr>
          <w:bCs/>
          <w:sz w:val="28"/>
          <w:szCs w:val="28"/>
        </w:rPr>
      </w:pPr>
    </w:p>
    <w:p w14:paraId="1EC6A86F" w14:textId="77777777" w:rsidR="00CE7F55" w:rsidRPr="00B91B74" w:rsidRDefault="00CE7F55" w:rsidP="00A87307">
      <w:pPr>
        <w:jc w:val="center"/>
        <w:rPr>
          <w:bCs/>
          <w:sz w:val="28"/>
          <w:szCs w:val="28"/>
        </w:rPr>
      </w:pPr>
    </w:p>
    <w:p w14:paraId="30282FC7" w14:textId="77777777" w:rsidR="00CE7F55" w:rsidRPr="00B91B74" w:rsidRDefault="00CE7F55" w:rsidP="00A87307">
      <w:pPr>
        <w:jc w:val="center"/>
        <w:rPr>
          <w:bCs/>
          <w:sz w:val="28"/>
          <w:szCs w:val="28"/>
        </w:rPr>
      </w:pPr>
    </w:p>
    <w:p w14:paraId="56F913F3" w14:textId="77777777" w:rsidR="00CE7F55" w:rsidRPr="00B91B74" w:rsidRDefault="00CE7F55" w:rsidP="00A87307">
      <w:pPr>
        <w:jc w:val="center"/>
        <w:rPr>
          <w:bCs/>
          <w:sz w:val="28"/>
          <w:szCs w:val="28"/>
        </w:rPr>
      </w:pPr>
    </w:p>
    <w:p w14:paraId="0ED0A176" w14:textId="3F41B45B" w:rsidR="00DB66DE" w:rsidRPr="00B91B74" w:rsidRDefault="00DB66DE" w:rsidP="00A87307">
      <w:pPr>
        <w:jc w:val="center"/>
        <w:rPr>
          <w:b/>
          <w:sz w:val="28"/>
          <w:szCs w:val="28"/>
        </w:rPr>
      </w:pPr>
      <w:r w:rsidRPr="00E4747B">
        <w:rPr>
          <w:b/>
          <w:sz w:val="28"/>
          <w:szCs w:val="28"/>
        </w:rPr>
        <w:t xml:space="preserve">Версия </w:t>
      </w:r>
      <w:r w:rsidR="004E10C2" w:rsidRPr="00E4747B">
        <w:rPr>
          <w:b/>
          <w:sz w:val="28"/>
          <w:szCs w:val="28"/>
        </w:rPr>
        <w:t>30</w:t>
      </w:r>
      <w:r w:rsidR="00E71231" w:rsidRPr="00E4747B">
        <w:rPr>
          <w:b/>
          <w:sz w:val="28"/>
          <w:szCs w:val="28"/>
        </w:rPr>
        <w:t>.06</w:t>
      </w:r>
      <w:r w:rsidRPr="00E4747B">
        <w:rPr>
          <w:b/>
          <w:sz w:val="28"/>
          <w:szCs w:val="28"/>
        </w:rPr>
        <w:t>.2021</w:t>
      </w:r>
    </w:p>
    <w:p w14:paraId="74CED467" w14:textId="1EA242A8" w:rsidR="007E52D9" w:rsidRPr="00B91B74" w:rsidRDefault="007E52D9" w:rsidP="00A87307">
      <w:pPr>
        <w:rPr>
          <w:b/>
          <w:sz w:val="28"/>
          <w:szCs w:val="28"/>
        </w:rPr>
      </w:pPr>
      <w:r w:rsidRPr="00B91B74">
        <w:rPr>
          <w:b/>
          <w:sz w:val="28"/>
          <w:szCs w:val="28"/>
        </w:rPr>
        <w:br w:type="page"/>
      </w:r>
    </w:p>
    <w:p w14:paraId="4C2A4259" w14:textId="650F3315" w:rsidR="00CF72BE" w:rsidRPr="00B91B74" w:rsidRDefault="00CF72BE" w:rsidP="00A87307">
      <w:pPr>
        <w:jc w:val="both"/>
        <w:rPr>
          <w:b/>
        </w:rPr>
      </w:pPr>
      <w:r w:rsidRPr="00B91B74">
        <w:rPr>
          <w:b/>
          <w:lang w:val="en-US"/>
        </w:rPr>
        <w:lastRenderedPageBreak/>
        <w:t>I</w:t>
      </w:r>
      <w:r w:rsidRPr="00B91B74">
        <w:rPr>
          <w:b/>
        </w:rPr>
        <w:t>.</w:t>
      </w:r>
      <w:r w:rsidRPr="00B91B74">
        <w:rPr>
          <w:b/>
        </w:rPr>
        <w:tab/>
      </w:r>
      <w:r w:rsidR="002D71B0" w:rsidRPr="00B91B74">
        <w:rPr>
          <w:b/>
        </w:rPr>
        <w:t>Наименование медицинского изделия</w:t>
      </w:r>
    </w:p>
    <w:p w14:paraId="1327959B" w14:textId="77777777" w:rsidR="002D71B0" w:rsidRPr="00B91B74" w:rsidRDefault="002D71B0" w:rsidP="00A87307">
      <w:pPr>
        <w:jc w:val="both"/>
        <w:rPr>
          <w:bCs/>
        </w:rPr>
      </w:pPr>
    </w:p>
    <w:p w14:paraId="7E37C0B7" w14:textId="2BC76FDC" w:rsidR="00CF72BE" w:rsidRPr="00B91B74" w:rsidRDefault="002D71B0" w:rsidP="00A87307">
      <w:pPr>
        <w:jc w:val="both"/>
        <w:rPr>
          <w:bCs/>
        </w:rPr>
      </w:pPr>
      <w:r w:rsidRPr="00B91B74">
        <w:rPr>
          <w:bCs/>
        </w:rPr>
        <w:t xml:space="preserve">Набор реагентов для </w:t>
      </w:r>
      <w:proofErr w:type="spellStart"/>
      <w:r w:rsidRPr="00B91B74">
        <w:rPr>
          <w:bCs/>
        </w:rPr>
        <w:t>иммунохроматографического</w:t>
      </w:r>
      <w:proofErr w:type="spellEnd"/>
      <w:r w:rsidRPr="00B91B74">
        <w:rPr>
          <w:bCs/>
        </w:rPr>
        <w:t xml:space="preserve"> выявления антигена SARS-CoV-2 на основе коллоидного золота в образцах мазков из носа и слюне человека «WANTAI SARS-CoV-2 </w:t>
      </w:r>
      <w:proofErr w:type="spellStart"/>
      <w:r w:rsidRPr="00B91B74">
        <w:rPr>
          <w:bCs/>
        </w:rPr>
        <w:t>Ag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Rapid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Test</w:t>
      </w:r>
      <w:proofErr w:type="spellEnd"/>
      <w:r w:rsidRPr="00B91B74">
        <w:rPr>
          <w:bCs/>
        </w:rPr>
        <w:t xml:space="preserve"> (</w:t>
      </w:r>
      <w:proofErr w:type="spellStart"/>
      <w:r w:rsidRPr="00B91B74">
        <w:rPr>
          <w:bCs/>
        </w:rPr>
        <w:t>Colloidal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Gold</w:t>
      </w:r>
      <w:proofErr w:type="spellEnd"/>
      <w:r w:rsidRPr="00B91B74">
        <w:rPr>
          <w:bCs/>
        </w:rPr>
        <w:t xml:space="preserve">)», </w:t>
      </w:r>
      <w:proofErr w:type="spellStart"/>
      <w:r w:rsidRPr="00B91B74">
        <w:rPr>
          <w:bCs/>
        </w:rPr>
        <w:t>Lot</w:t>
      </w:r>
      <w:proofErr w:type="spellEnd"/>
      <w:r w:rsidRPr="00B91B74">
        <w:rPr>
          <w:bCs/>
        </w:rPr>
        <w:t xml:space="preserve"> JNR20210801</w:t>
      </w:r>
      <w:r w:rsidR="00E4747B">
        <w:rPr>
          <w:bCs/>
        </w:rPr>
        <w:t>.</w:t>
      </w:r>
    </w:p>
    <w:p w14:paraId="0D9C6295" w14:textId="437EA0A1" w:rsidR="00CF72BE" w:rsidRPr="00B91B74" w:rsidRDefault="00CF72BE" w:rsidP="00A87307">
      <w:pPr>
        <w:jc w:val="both"/>
        <w:rPr>
          <w:bCs/>
        </w:rPr>
      </w:pPr>
    </w:p>
    <w:p w14:paraId="6BE52AA9" w14:textId="621C3D00" w:rsidR="00CF72BE" w:rsidRPr="00B91B74" w:rsidRDefault="00CF72BE" w:rsidP="00A87307">
      <w:pPr>
        <w:jc w:val="both"/>
        <w:rPr>
          <w:b/>
        </w:rPr>
      </w:pPr>
      <w:r w:rsidRPr="00B91B74">
        <w:rPr>
          <w:b/>
          <w:lang w:val="en-US"/>
        </w:rPr>
        <w:t>II</w:t>
      </w:r>
      <w:r w:rsidRPr="00B91B74">
        <w:rPr>
          <w:b/>
        </w:rPr>
        <w:t>.</w:t>
      </w:r>
      <w:r w:rsidRPr="00B91B74">
        <w:rPr>
          <w:b/>
        </w:rPr>
        <w:tab/>
      </w:r>
      <w:r w:rsidR="002D71B0" w:rsidRPr="00B91B74">
        <w:rPr>
          <w:b/>
        </w:rPr>
        <w:t>Назначение медицинского изделия</w:t>
      </w:r>
    </w:p>
    <w:p w14:paraId="20A95BF2" w14:textId="1C39202B" w:rsidR="002D71B0" w:rsidRPr="00B91B74" w:rsidRDefault="002D71B0" w:rsidP="00A87307">
      <w:pPr>
        <w:jc w:val="both"/>
        <w:rPr>
          <w:bCs/>
        </w:rPr>
      </w:pPr>
    </w:p>
    <w:p w14:paraId="5693CF83" w14:textId="510E041C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 xml:space="preserve">«Набор реагентов для </w:t>
      </w:r>
      <w:proofErr w:type="spellStart"/>
      <w:r w:rsidRPr="00B91B74">
        <w:rPr>
          <w:bCs/>
        </w:rPr>
        <w:t>иммунохроматографического</w:t>
      </w:r>
      <w:proofErr w:type="spellEnd"/>
      <w:r w:rsidRPr="00B91B74">
        <w:rPr>
          <w:bCs/>
        </w:rPr>
        <w:t xml:space="preserve"> выявления антигена SARS-CoV-2 на основе коллоидного золота в образцах мазков из носа и слюне человека «WANTAI SARS-CoV-2 </w:t>
      </w:r>
      <w:proofErr w:type="spellStart"/>
      <w:r w:rsidRPr="00B91B74">
        <w:rPr>
          <w:bCs/>
        </w:rPr>
        <w:t>Ag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Rapid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Test</w:t>
      </w:r>
      <w:proofErr w:type="spellEnd"/>
      <w:r w:rsidRPr="00B91B74">
        <w:rPr>
          <w:bCs/>
        </w:rPr>
        <w:t xml:space="preserve"> (</w:t>
      </w:r>
      <w:proofErr w:type="spellStart"/>
      <w:r w:rsidRPr="00B91B74">
        <w:rPr>
          <w:bCs/>
        </w:rPr>
        <w:t>Colloidal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Gold</w:t>
      </w:r>
      <w:proofErr w:type="spellEnd"/>
      <w:r w:rsidRPr="00B91B74">
        <w:rPr>
          <w:bCs/>
        </w:rPr>
        <w:t xml:space="preserve">)», </w:t>
      </w:r>
      <w:proofErr w:type="spellStart"/>
      <w:r w:rsidRPr="00B91B74">
        <w:rPr>
          <w:bCs/>
        </w:rPr>
        <w:t>Lot</w:t>
      </w:r>
      <w:proofErr w:type="spellEnd"/>
      <w:r w:rsidRPr="00B91B74">
        <w:rPr>
          <w:bCs/>
        </w:rPr>
        <w:t xml:space="preserve"> JNR20210801» предназначен для быстрого качественного определения </w:t>
      </w:r>
      <w:proofErr w:type="spellStart"/>
      <w:r w:rsidRPr="00B91B74">
        <w:rPr>
          <w:bCs/>
        </w:rPr>
        <w:t>нуклеокапсидного</w:t>
      </w:r>
      <w:proofErr w:type="spellEnd"/>
      <w:r w:rsidRPr="00B91B74">
        <w:rPr>
          <w:bCs/>
        </w:rPr>
        <w:t xml:space="preserve"> антигена </w:t>
      </w:r>
      <w:proofErr w:type="spellStart"/>
      <w:r w:rsidRPr="00B91B74">
        <w:rPr>
          <w:bCs/>
        </w:rPr>
        <w:t>коронавируса</w:t>
      </w:r>
      <w:proofErr w:type="spellEnd"/>
      <w:r w:rsidRPr="00B91B74">
        <w:rPr>
          <w:bCs/>
        </w:rPr>
        <w:t xml:space="preserve"> SARS-CoV-2 в назальных мазках и слюне человека </w:t>
      </w:r>
      <w:proofErr w:type="spellStart"/>
      <w:r w:rsidRPr="00B91B74">
        <w:rPr>
          <w:bCs/>
        </w:rPr>
        <w:t>иммунохроматографическим</w:t>
      </w:r>
      <w:proofErr w:type="spellEnd"/>
      <w:r w:rsidRPr="00B91B74">
        <w:rPr>
          <w:bCs/>
        </w:rPr>
        <w:t xml:space="preserve"> методом. Может применяться только профессиональным пользователем в качестве вспомогательного средства прямой этиологической </w:t>
      </w:r>
      <w:proofErr w:type="spellStart"/>
      <w:r w:rsidRPr="00B91B74">
        <w:rPr>
          <w:bCs/>
          <w:i/>
          <w:iCs/>
        </w:rPr>
        <w:t>in</w:t>
      </w:r>
      <w:proofErr w:type="spellEnd"/>
      <w:r w:rsidRPr="00B91B74">
        <w:rPr>
          <w:bCs/>
          <w:i/>
          <w:iCs/>
        </w:rPr>
        <w:t xml:space="preserve"> </w:t>
      </w:r>
      <w:proofErr w:type="spellStart"/>
      <w:r w:rsidRPr="00B91B74">
        <w:rPr>
          <w:bCs/>
          <w:i/>
          <w:iCs/>
        </w:rPr>
        <w:t>vitro</w:t>
      </w:r>
      <w:proofErr w:type="spellEnd"/>
      <w:r w:rsidRPr="00B91B74">
        <w:rPr>
          <w:bCs/>
        </w:rPr>
        <w:t xml:space="preserve"> диагностики COVID-19.</w:t>
      </w:r>
    </w:p>
    <w:p w14:paraId="29A6E32E" w14:textId="02662F69" w:rsidR="00CF72BE" w:rsidRPr="00B91B74" w:rsidRDefault="00CF72BE" w:rsidP="00A87307">
      <w:pPr>
        <w:jc w:val="both"/>
        <w:rPr>
          <w:bCs/>
        </w:rPr>
      </w:pPr>
    </w:p>
    <w:p w14:paraId="100ED731" w14:textId="4CD878D2" w:rsidR="00CF72BE" w:rsidRPr="00B91B74" w:rsidRDefault="00CF72BE" w:rsidP="00A87307">
      <w:pPr>
        <w:jc w:val="both"/>
        <w:rPr>
          <w:b/>
        </w:rPr>
      </w:pPr>
      <w:r w:rsidRPr="00B91B74">
        <w:rPr>
          <w:b/>
          <w:lang w:val="en-US"/>
        </w:rPr>
        <w:t>III</w:t>
      </w:r>
      <w:r w:rsidRPr="00B91B74">
        <w:rPr>
          <w:b/>
        </w:rPr>
        <w:t>.</w:t>
      </w:r>
      <w:r w:rsidR="002D71B0" w:rsidRPr="00B91B74">
        <w:rPr>
          <w:b/>
        </w:rPr>
        <w:tab/>
        <w:t>Состав изделия</w:t>
      </w:r>
    </w:p>
    <w:p w14:paraId="722D94AF" w14:textId="59ADFF33" w:rsidR="00CF72BE" w:rsidRPr="00B91B74" w:rsidRDefault="00CF72BE" w:rsidP="00A87307">
      <w:pPr>
        <w:jc w:val="both"/>
        <w:rPr>
          <w:bCs/>
        </w:rPr>
      </w:pPr>
    </w:p>
    <w:p w14:paraId="03242AA9" w14:textId="49D12AA0" w:rsidR="00CF72BE" w:rsidRPr="00B91B74" w:rsidRDefault="002D71B0" w:rsidP="00A87307">
      <w:pPr>
        <w:jc w:val="both"/>
        <w:rPr>
          <w:bCs/>
        </w:rPr>
      </w:pPr>
      <w:r w:rsidRPr="00B91B74">
        <w:rPr>
          <w:bCs/>
        </w:rPr>
        <w:t xml:space="preserve">«Набор реагентов для </w:t>
      </w:r>
      <w:proofErr w:type="spellStart"/>
      <w:r w:rsidRPr="00B91B74">
        <w:rPr>
          <w:bCs/>
        </w:rPr>
        <w:t>иммунохроматографического</w:t>
      </w:r>
      <w:proofErr w:type="spellEnd"/>
      <w:r w:rsidRPr="00B91B74">
        <w:rPr>
          <w:bCs/>
        </w:rPr>
        <w:t xml:space="preserve"> выявления антигена SARS-CoV-2 на основе коллоидного золота в образцах мазков из носа и слюне человека </w:t>
      </w:r>
      <w:bookmarkStart w:id="0" w:name="_Hlk75850447"/>
      <w:r w:rsidRPr="00B91B74">
        <w:rPr>
          <w:bCs/>
        </w:rPr>
        <w:t xml:space="preserve">«WANTAI SARS-CoV-2 </w:t>
      </w:r>
      <w:proofErr w:type="spellStart"/>
      <w:r w:rsidRPr="00B91B74">
        <w:rPr>
          <w:bCs/>
        </w:rPr>
        <w:t>Ag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Rapid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Test</w:t>
      </w:r>
      <w:proofErr w:type="spellEnd"/>
      <w:r w:rsidRPr="00B91B74">
        <w:rPr>
          <w:bCs/>
        </w:rPr>
        <w:t xml:space="preserve"> (</w:t>
      </w:r>
      <w:proofErr w:type="spellStart"/>
      <w:r w:rsidRPr="00B91B74">
        <w:rPr>
          <w:bCs/>
        </w:rPr>
        <w:t>Colloidal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Gold</w:t>
      </w:r>
      <w:proofErr w:type="spellEnd"/>
      <w:r w:rsidRPr="00B91B74">
        <w:rPr>
          <w:bCs/>
        </w:rPr>
        <w:t>)»</w:t>
      </w:r>
      <w:bookmarkEnd w:id="0"/>
      <w:r w:rsidRPr="00B91B74">
        <w:rPr>
          <w:bCs/>
        </w:rPr>
        <w:t xml:space="preserve">, </w:t>
      </w:r>
      <w:proofErr w:type="spellStart"/>
      <w:r w:rsidRPr="00B91B74">
        <w:rPr>
          <w:bCs/>
        </w:rPr>
        <w:t>Lot</w:t>
      </w:r>
      <w:proofErr w:type="spellEnd"/>
      <w:r w:rsidRPr="00B91B74">
        <w:rPr>
          <w:bCs/>
        </w:rPr>
        <w:t xml:space="preserve"> JNR20210801» (далее – набор реагентов, изделие) представлен в следующих вариантах комплектации:</w:t>
      </w:r>
    </w:p>
    <w:p w14:paraId="0808EDAB" w14:textId="77777777" w:rsidR="002D71B0" w:rsidRPr="00B91B74" w:rsidRDefault="002D71B0" w:rsidP="00A87307">
      <w:pPr>
        <w:jc w:val="both"/>
        <w:rPr>
          <w:bCs/>
        </w:rPr>
      </w:pPr>
    </w:p>
    <w:p w14:paraId="4F99A11C" w14:textId="77777777" w:rsidR="002D71B0" w:rsidRPr="00B91B74" w:rsidRDefault="002D71B0" w:rsidP="00A87307">
      <w:pPr>
        <w:jc w:val="both"/>
        <w:rPr>
          <w:b/>
        </w:rPr>
      </w:pPr>
      <w:r w:rsidRPr="00B91B74">
        <w:rPr>
          <w:b/>
        </w:rPr>
        <w:t>Комплектация 1:</w:t>
      </w:r>
    </w:p>
    <w:p w14:paraId="53C69B98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>1) Тест-кассета – 10 шт.</w:t>
      </w:r>
    </w:p>
    <w:p w14:paraId="054BE9B1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>2) Пробирка с буферным раствором для экстракции (0,5 мл) – 10 шт.</w:t>
      </w:r>
    </w:p>
    <w:p w14:paraId="4C50EC1D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 xml:space="preserve">3) Пакет полиэтиленовый с замком </w:t>
      </w:r>
      <w:proofErr w:type="spellStart"/>
      <w:r w:rsidRPr="00B91B74">
        <w:rPr>
          <w:bCs/>
        </w:rPr>
        <w:t>зип-лок</w:t>
      </w:r>
      <w:proofErr w:type="spellEnd"/>
      <w:r w:rsidRPr="00B91B74">
        <w:rPr>
          <w:bCs/>
        </w:rPr>
        <w:t xml:space="preserve"> – 10 шт.</w:t>
      </w:r>
    </w:p>
    <w:p w14:paraId="577EF2F2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>4) Стерильный зонд-тампон для взятия образцов – 10 шт.</w:t>
      </w:r>
    </w:p>
    <w:p w14:paraId="3C3B02A9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>5) Инструкция по применению – 1 шт.</w:t>
      </w:r>
    </w:p>
    <w:p w14:paraId="3EE1D194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>6) Краткое руководство пользователя – 1 шт.</w:t>
      </w:r>
    </w:p>
    <w:p w14:paraId="7831FFD7" w14:textId="77777777" w:rsidR="002D71B0" w:rsidRPr="00B91B74" w:rsidRDefault="002D71B0" w:rsidP="00A87307">
      <w:pPr>
        <w:jc w:val="both"/>
        <w:rPr>
          <w:bCs/>
        </w:rPr>
      </w:pPr>
    </w:p>
    <w:p w14:paraId="3130DC95" w14:textId="77777777" w:rsidR="002D71B0" w:rsidRPr="00B91B74" w:rsidRDefault="002D71B0" w:rsidP="00A87307">
      <w:pPr>
        <w:jc w:val="both"/>
        <w:rPr>
          <w:b/>
        </w:rPr>
      </w:pPr>
      <w:r w:rsidRPr="00B91B74">
        <w:rPr>
          <w:b/>
        </w:rPr>
        <w:t>Комплектация 2:</w:t>
      </w:r>
    </w:p>
    <w:p w14:paraId="3A8B152C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>1) Тест-кассета – 1 шт.</w:t>
      </w:r>
    </w:p>
    <w:p w14:paraId="04B8190C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>2) Пробирка с буферным раствором для экстракции (0,5 мл) – 1 шт.</w:t>
      </w:r>
    </w:p>
    <w:p w14:paraId="25A58F98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 xml:space="preserve">3) Пакет полиэтиленовый с замком </w:t>
      </w:r>
      <w:proofErr w:type="spellStart"/>
      <w:r w:rsidRPr="00B91B74">
        <w:rPr>
          <w:bCs/>
        </w:rPr>
        <w:t>зип-лок</w:t>
      </w:r>
      <w:proofErr w:type="spellEnd"/>
      <w:r w:rsidRPr="00B91B74">
        <w:rPr>
          <w:bCs/>
        </w:rPr>
        <w:t xml:space="preserve"> – 1 шт.</w:t>
      </w:r>
    </w:p>
    <w:p w14:paraId="5B827077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>4) Стерильный зонд-тампон для взятия образцов – 1 шт.</w:t>
      </w:r>
    </w:p>
    <w:p w14:paraId="3621728D" w14:textId="77777777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>5) Инструкция по применению – 1 шт.</w:t>
      </w:r>
    </w:p>
    <w:p w14:paraId="1F127020" w14:textId="3C346596" w:rsidR="00CF72BE" w:rsidRPr="00B91B74" w:rsidRDefault="002D71B0" w:rsidP="00A87307">
      <w:pPr>
        <w:jc w:val="both"/>
        <w:rPr>
          <w:bCs/>
        </w:rPr>
      </w:pPr>
      <w:r w:rsidRPr="00B91B74">
        <w:rPr>
          <w:bCs/>
        </w:rPr>
        <w:t>6) Краткое руководство пользователя – 1 шт.</w:t>
      </w:r>
    </w:p>
    <w:p w14:paraId="1E5B287F" w14:textId="2A2D45DD" w:rsidR="00CF72BE" w:rsidRPr="00B91B74" w:rsidRDefault="00CF72BE" w:rsidP="00A87307">
      <w:pPr>
        <w:jc w:val="both"/>
        <w:rPr>
          <w:bCs/>
        </w:rPr>
      </w:pPr>
    </w:p>
    <w:p w14:paraId="7F3A9BBF" w14:textId="005E44C0" w:rsidR="00CF72BE" w:rsidRPr="00B91B74" w:rsidRDefault="00CF72BE" w:rsidP="00A87307">
      <w:pPr>
        <w:jc w:val="both"/>
        <w:rPr>
          <w:b/>
        </w:rPr>
      </w:pPr>
      <w:r w:rsidRPr="00B91B74">
        <w:rPr>
          <w:b/>
          <w:lang w:val="en-US"/>
        </w:rPr>
        <w:t>IV</w:t>
      </w:r>
      <w:r w:rsidRPr="00B91B74">
        <w:rPr>
          <w:b/>
        </w:rPr>
        <w:t>.</w:t>
      </w:r>
      <w:r w:rsidR="002D71B0" w:rsidRPr="00B91B74">
        <w:rPr>
          <w:b/>
        </w:rPr>
        <w:tab/>
        <w:t>Сведения об изделии</w:t>
      </w:r>
    </w:p>
    <w:p w14:paraId="610A7E10" w14:textId="6A930BA5" w:rsidR="00CF72BE" w:rsidRPr="00B91B74" w:rsidRDefault="00CF72BE" w:rsidP="00A87307">
      <w:pPr>
        <w:jc w:val="both"/>
        <w:rPr>
          <w:bCs/>
        </w:rPr>
      </w:pPr>
    </w:p>
    <w:p w14:paraId="4D3BD5E8" w14:textId="64A5AA49" w:rsidR="002D71B0" w:rsidRPr="00B91B74" w:rsidRDefault="002D71B0" w:rsidP="00A87307">
      <w:pPr>
        <w:jc w:val="both"/>
        <w:rPr>
          <w:bCs/>
        </w:rPr>
      </w:pPr>
      <w:r w:rsidRPr="00B91B74">
        <w:rPr>
          <w:bCs/>
        </w:rPr>
        <w:t>Комплектация 1 набора реагентов рассчитана на проведение 10 определений.</w:t>
      </w:r>
    </w:p>
    <w:p w14:paraId="26329EFF" w14:textId="7937C966" w:rsidR="00CF72BE" w:rsidRPr="00B91B74" w:rsidRDefault="002D71B0" w:rsidP="00A87307">
      <w:pPr>
        <w:jc w:val="both"/>
        <w:rPr>
          <w:bCs/>
        </w:rPr>
      </w:pPr>
      <w:r w:rsidRPr="00B91B74">
        <w:rPr>
          <w:bCs/>
        </w:rPr>
        <w:t>Комплектация 2 набора реагентов рассчитана на проведение 1 определения.</w:t>
      </w:r>
    </w:p>
    <w:p w14:paraId="6C3641D1" w14:textId="77777777" w:rsidR="002D71B0" w:rsidRPr="00B91B74" w:rsidRDefault="002D71B0" w:rsidP="00A87307">
      <w:pPr>
        <w:jc w:val="both"/>
        <w:rPr>
          <w:bCs/>
        </w:rPr>
      </w:pPr>
    </w:p>
    <w:p w14:paraId="5A21D1DC" w14:textId="52097664" w:rsidR="006563DA" w:rsidRDefault="002D71B0" w:rsidP="00A87307">
      <w:pPr>
        <w:jc w:val="both"/>
        <w:rPr>
          <w:bCs/>
        </w:rPr>
      </w:pPr>
      <w:r w:rsidRPr="00B91B74">
        <w:rPr>
          <w:bCs/>
        </w:rPr>
        <w:t xml:space="preserve">Набор реагентов каждой комплектации </w:t>
      </w:r>
      <w:r w:rsidR="006563DA">
        <w:rPr>
          <w:bCs/>
        </w:rPr>
        <w:t>помещен</w:t>
      </w:r>
      <w:r w:rsidRPr="00B91B74">
        <w:rPr>
          <w:bCs/>
        </w:rPr>
        <w:t xml:space="preserve"> в </w:t>
      </w:r>
      <w:r w:rsidR="006563DA">
        <w:rPr>
          <w:bCs/>
        </w:rPr>
        <w:t xml:space="preserve">потребительскую упаковку – </w:t>
      </w:r>
      <w:r w:rsidRPr="00B91B74">
        <w:rPr>
          <w:bCs/>
        </w:rPr>
        <w:t>картонную коробку.</w:t>
      </w:r>
    </w:p>
    <w:p w14:paraId="117187F4" w14:textId="1D237781" w:rsidR="006563DA" w:rsidRPr="00F375A0" w:rsidRDefault="006563DA" w:rsidP="00A87307">
      <w:pPr>
        <w:jc w:val="both"/>
        <w:rPr>
          <w:bCs/>
        </w:rPr>
      </w:pPr>
      <w:r w:rsidRPr="00F375A0">
        <w:rPr>
          <w:bCs/>
        </w:rPr>
        <w:t>В потребительскую упаковку с изделием Комплектации 1 вкладывается сертификат производителя на изделие.</w:t>
      </w:r>
    </w:p>
    <w:p w14:paraId="54B7E36C" w14:textId="09E36FBF" w:rsidR="002D71B0" w:rsidRPr="00B91B74" w:rsidRDefault="006563DA" w:rsidP="00A87307">
      <w:pPr>
        <w:jc w:val="both"/>
        <w:rPr>
          <w:bCs/>
        </w:rPr>
      </w:pPr>
      <w:r w:rsidRPr="00F375A0">
        <w:rPr>
          <w:bCs/>
        </w:rPr>
        <w:t xml:space="preserve">Изделие Комплектации 2 поставляется в групповой упаковке – картонной коробке, в которую вложено 10 наборов реагентов </w:t>
      </w:r>
      <w:r w:rsidR="00904D9B" w:rsidRPr="00F375A0">
        <w:rPr>
          <w:bCs/>
        </w:rPr>
        <w:t xml:space="preserve">соответствующей комплектации </w:t>
      </w:r>
      <w:r w:rsidRPr="00F375A0">
        <w:rPr>
          <w:bCs/>
        </w:rPr>
        <w:t>в потребительской упаковке. В групповую упаковку вложен сертификат производителя на изделие.</w:t>
      </w:r>
    </w:p>
    <w:p w14:paraId="66C7D7A2" w14:textId="77777777" w:rsidR="002D71B0" w:rsidRPr="00B91B74" w:rsidRDefault="002D71B0" w:rsidP="00A87307">
      <w:pPr>
        <w:jc w:val="both"/>
        <w:rPr>
          <w:bCs/>
        </w:rPr>
      </w:pPr>
    </w:p>
    <w:p w14:paraId="4BF4E015" w14:textId="68821737" w:rsidR="00CF72BE" w:rsidRPr="00B91B74" w:rsidRDefault="002D71B0" w:rsidP="00A87307">
      <w:pPr>
        <w:jc w:val="both"/>
        <w:rPr>
          <w:bCs/>
        </w:rPr>
      </w:pPr>
      <w:r w:rsidRPr="00B91B74">
        <w:rPr>
          <w:bCs/>
        </w:rPr>
        <w:lastRenderedPageBreak/>
        <w:t>Изделие выпускается в нестерильном виде</w:t>
      </w:r>
      <w:r w:rsidR="00560D26" w:rsidRPr="00B91B74">
        <w:rPr>
          <w:bCs/>
        </w:rPr>
        <w:t xml:space="preserve"> (за исключением зондов-тампонов для взятия образцов)</w:t>
      </w:r>
      <w:r w:rsidRPr="00B91B74">
        <w:rPr>
          <w:bCs/>
        </w:rPr>
        <w:t>, предназначено для одноразового использования, не требует повторной стерилизации или дезинфекции, техническому обслуживанию и ремонту не подлежит.</w:t>
      </w:r>
    </w:p>
    <w:p w14:paraId="5E15BD20" w14:textId="030551EA" w:rsidR="00CF72BE" w:rsidRPr="00B91B74" w:rsidRDefault="00CF72BE" w:rsidP="00A87307">
      <w:pPr>
        <w:jc w:val="both"/>
        <w:rPr>
          <w:bCs/>
        </w:rPr>
      </w:pPr>
    </w:p>
    <w:p w14:paraId="5B97FF4D" w14:textId="1F779BFC" w:rsidR="00CF72BE" w:rsidRPr="00B91B74" w:rsidRDefault="00CF72BE" w:rsidP="00A87307">
      <w:pPr>
        <w:jc w:val="both"/>
        <w:rPr>
          <w:b/>
        </w:rPr>
      </w:pPr>
      <w:r w:rsidRPr="00B91B74">
        <w:rPr>
          <w:b/>
          <w:lang w:val="en-US"/>
        </w:rPr>
        <w:t>V</w:t>
      </w:r>
      <w:r w:rsidRPr="00B91B74">
        <w:rPr>
          <w:b/>
        </w:rPr>
        <w:t>.</w:t>
      </w:r>
      <w:r w:rsidR="002D71B0" w:rsidRPr="00B91B74">
        <w:rPr>
          <w:b/>
        </w:rPr>
        <w:tab/>
        <w:t>Показания к применению</w:t>
      </w:r>
    </w:p>
    <w:p w14:paraId="4AA7C7BF" w14:textId="77777777" w:rsidR="000555B7" w:rsidRPr="00B91B74" w:rsidRDefault="000555B7" w:rsidP="00A87307">
      <w:pPr>
        <w:jc w:val="both"/>
        <w:rPr>
          <w:bCs/>
        </w:rPr>
      </w:pPr>
    </w:p>
    <w:p w14:paraId="110D5A04" w14:textId="07F6D846" w:rsidR="00CF72BE" w:rsidRPr="00B91B74" w:rsidRDefault="000555B7" w:rsidP="00A87307">
      <w:pPr>
        <w:jc w:val="both"/>
        <w:rPr>
          <w:bCs/>
        </w:rPr>
      </w:pPr>
      <w:r w:rsidRPr="00B91B74">
        <w:rPr>
          <w:bCs/>
        </w:rPr>
        <w:t xml:space="preserve">Набор реагентов </w:t>
      </w:r>
      <w:r w:rsidR="00EC01CD" w:rsidRPr="00EC01CD">
        <w:rPr>
          <w:bCs/>
        </w:rPr>
        <w:t xml:space="preserve">«WANTAI SARS-CoV-2 </w:t>
      </w:r>
      <w:proofErr w:type="spellStart"/>
      <w:r w:rsidR="00EC01CD" w:rsidRPr="00EC01CD">
        <w:rPr>
          <w:bCs/>
        </w:rPr>
        <w:t>Ag</w:t>
      </w:r>
      <w:proofErr w:type="spellEnd"/>
      <w:r w:rsidR="00EC01CD" w:rsidRPr="00EC01CD">
        <w:rPr>
          <w:bCs/>
        </w:rPr>
        <w:t xml:space="preserve"> </w:t>
      </w:r>
      <w:proofErr w:type="spellStart"/>
      <w:r w:rsidR="00EC01CD" w:rsidRPr="00EC01CD">
        <w:rPr>
          <w:bCs/>
        </w:rPr>
        <w:t>Rapid</w:t>
      </w:r>
      <w:proofErr w:type="spellEnd"/>
      <w:r w:rsidR="00EC01CD" w:rsidRPr="00EC01CD">
        <w:rPr>
          <w:bCs/>
        </w:rPr>
        <w:t xml:space="preserve"> </w:t>
      </w:r>
      <w:proofErr w:type="spellStart"/>
      <w:r w:rsidR="00EC01CD" w:rsidRPr="00EC01CD">
        <w:rPr>
          <w:bCs/>
        </w:rPr>
        <w:t>Test</w:t>
      </w:r>
      <w:proofErr w:type="spellEnd"/>
      <w:r w:rsidR="00EC01CD" w:rsidRPr="00EC01CD">
        <w:rPr>
          <w:bCs/>
        </w:rPr>
        <w:t xml:space="preserve"> (</w:t>
      </w:r>
      <w:proofErr w:type="spellStart"/>
      <w:r w:rsidR="00EC01CD" w:rsidRPr="00EC01CD">
        <w:rPr>
          <w:bCs/>
        </w:rPr>
        <w:t>Colloidal</w:t>
      </w:r>
      <w:proofErr w:type="spellEnd"/>
      <w:r w:rsidR="00EC01CD" w:rsidRPr="00EC01CD">
        <w:rPr>
          <w:bCs/>
        </w:rPr>
        <w:t xml:space="preserve"> </w:t>
      </w:r>
      <w:proofErr w:type="spellStart"/>
      <w:r w:rsidR="00EC01CD" w:rsidRPr="00EC01CD">
        <w:rPr>
          <w:bCs/>
        </w:rPr>
        <w:t>Gold</w:t>
      </w:r>
      <w:proofErr w:type="spellEnd"/>
      <w:r w:rsidR="00EC01CD" w:rsidRPr="00EC01CD">
        <w:rPr>
          <w:bCs/>
        </w:rPr>
        <w:t>)»</w:t>
      </w:r>
      <w:r w:rsidR="00EC01CD">
        <w:rPr>
          <w:bCs/>
        </w:rPr>
        <w:t xml:space="preserve"> </w:t>
      </w:r>
      <w:r w:rsidRPr="00B91B74">
        <w:rPr>
          <w:bCs/>
        </w:rPr>
        <w:t>может быть использован в качестве средства прямой этиологической диагностики COVID-19 при лабораторном обследовании лиц с симптомами острой респираторной инфекции,</w:t>
      </w:r>
      <w:r w:rsidRPr="00B91B74">
        <w:t xml:space="preserve"> контактных с больными COVID-2019</w:t>
      </w:r>
      <w:r w:rsidRPr="00B91B74">
        <w:rPr>
          <w:bCs/>
        </w:rPr>
        <w:t>,</w:t>
      </w:r>
      <w:r w:rsidRPr="00B91B74">
        <w:t xml:space="preserve"> а также лиц, не имеющих признаков простудных заболеваний и не являющихся контактными с больными COVID-2019.</w:t>
      </w:r>
    </w:p>
    <w:p w14:paraId="2652925F" w14:textId="48C61F00" w:rsidR="00CF72BE" w:rsidRPr="00B91B74" w:rsidRDefault="00CF72BE" w:rsidP="00A87307">
      <w:pPr>
        <w:jc w:val="both"/>
        <w:rPr>
          <w:bCs/>
        </w:rPr>
      </w:pPr>
    </w:p>
    <w:p w14:paraId="73A030B1" w14:textId="53714EE8" w:rsidR="00CF72BE" w:rsidRPr="00B91B74" w:rsidRDefault="00CF72BE" w:rsidP="00A87307">
      <w:pPr>
        <w:jc w:val="both"/>
        <w:rPr>
          <w:b/>
        </w:rPr>
      </w:pPr>
      <w:r w:rsidRPr="00B91B74">
        <w:rPr>
          <w:b/>
          <w:lang w:val="en-US"/>
        </w:rPr>
        <w:t>VI</w:t>
      </w:r>
      <w:r w:rsidRPr="00B91B74">
        <w:rPr>
          <w:b/>
        </w:rPr>
        <w:t>.</w:t>
      </w:r>
      <w:r w:rsidR="000555B7" w:rsidRPr="00B91B74">
        <w:rPr>
          <w:b/>
        </w:rPr>
        <w:tab/>
        <w:t>Противопоказания к применению</w:t>
      </w:r>
    </w:p>
    <w:p w14:paraId="3CED01C2" w14:textId="77777777" w:rsidR="000555B7" w:rsidRPr="00B91B74" w:rsidRDefault="000555B7" w:rsidP="00A87307">
      <w:pPr>
        <w:jc w:val="both"/>
        <w:rPr>
          <w:bCs/>
        </w:rPr>
      </w:pPr>
    </w:p>
    <w:p w14:paraId="6B7AAC5B" w14:textId="6AA5D8EC" w:rsidR="000555B7" w:rsidRPr="00B91B74" w:rsidRDefault="000555B7" w:rsidP="00A87307">
      <w:pPr>
        <w:pStyle w:val="a5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B74">
        <w:rPr>
          <w:rFonts w:ascii="Times New Roman" w:hAnsi="Times New Roman" w:cs="Times New Roman"/>
          <w:sz w:val="24"/>
          <w:szCs w:val="24"/>
        </w:rPr>
        <w:t>Истекший срок годности изделия.</w:t>
      </w:r>
    </w:p>
    <w:p w14:paraId="5C32FD51" w14:textId="777FBC15" w:rsidR="000555B7" w:rsidRPr="00B91B74" w:rsidRDefault="000555B7" w:rsidP="00A87307">
      <w:pPr>
        <w:pStyle w:val="a5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B74">
        <w:rPr>
          <w:rFonts w:ascii="Times New Roman" w:hAnsi="Times New Roman" w:cs="Times New Roman"/>
          <w:sz w:val="24"/>
          <w:szCs w:val="24"/>
        </w:rPr>
        <w:t>Нарушение целостности упаковки изделия.</w:t>
      </w:r>
    </w:p>
    <w:p w14:paraId="2B2CF9BF" w14:textId="77777777" w:rsidR="000555B7" w:rsidRPr="00B91B74" w:rsidRDefault="000555B7" w:rsidP="00A87307">
      <w:pPr>
        <w:pStyle w:val="a5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B74">
        <w:rPr>
          <w:rFonts w:ascii="Times New Roman" w:hAnsi="Times New Roman" w:cs="Times New Roman"/>
          <w:sz w:val="24"/>
          <w:szCs w:val="24"/>
        </w:rPr>
        <w:t>Ненадлежащие условия хранения и транспортирования.</w:t>
      </w:r>
    </w:p>
    <w:p w14:paraId="7775EEBF" w14:textId="36633176" w:rsidR="000555B7" w:rsidRPr="00B91B74" w:rsidRDefault="000555B7" w:rsidP="00A87307">
      <w:pPr>
        <w:pStyle w:val="a5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B74">
        <w:rPr>
          <w:rFonts w:ascii="Times New Roman" w:hAnsi="Times New Roman" w:cs="Times New Roman"/>
          <w:sz w:val="24"/>
          <w:szCs w:val="24"/>
        </w:rPr>
        <w:t>Другие противопоказания к применению в рамках установленного назначения отсутствуют, за исключением случаев, когда взятие материала не может быть осуществлено по медицинским показаниям.</w:t>
      </w:r>
    </w:p>
    <w:p w14:paraId="738DFC9E" w14:textId="29212080" w:rsidR="000555B7" w:rsidRPr="00B91B74" w:rsidRDefault="000555B7" w:rsidP="00A87307">
      <w:pPr>
        <w:jc w:val="both"/>
        <w:rPr>
          <w:bCs/>
        </w:rPr>
      </w:pPr>
    </w:p>
    <w:p w14:paraId="76E8A5F0" w14:textId="5A34A6EC" w:rsidR="000555B7" w:rsidRPr="00B91B74" w:rsidRDefault="00B0469C" w:rsidP="00A87307">
      <w:pPr>
        <w:jc w:val="both"/>
        <w:rPr>
          <w:b/>
        </w:rPr>
      </w:pPr>
      <w:r w:rsidRPr="00B91B74">
        <w:rPr>
          <w:b/>
          <w:lang w:val="en-US"/>
        </w:rPr>
        <w:t>VII</w:t>
      </w:r>
      <w:r w:rsidRPr="00B91B74">
        <w:rPr>
          <w:b/>
        </w:rPr>
        <w:t>.</w:t>
      </w:r>
      <w:r w:rsidR="008661E2" w:rsidRPr="00B91B74">
        <w:rPr>
          <w:b/>
        </w:rPr>
        <w:tab/>
        <w:t>Побочные действия</w:t>
      </w:r>
    </w:p>
    <w:p w14:paraId="30F4893F" w14:textId="304203BD" w:rsidR="008661E2" w:rsidRPr="00B91B74" w:rsidRDefault="008661E2" w:rsidP="00A87307">
      <w:pPr>
        <w:jc w:val="both"/>
        <w:rPr>
          <w:bCs/>
        </w:rPr>
      </w:pPr>
    </w:p>
    <w:p w14:paraId="6F9638EF" w14:textId="3FF6FAE5" w:rsidR="008661E2" w:rsidRPr="00B91B74" w:rsidRDefault="008661E2" w:rsidP="00A87307">
      <w:pPr>
        <w:jc w:val="both"/>
        <w:rPr>
          <w:bCs/>
        </w:rPr>
      </w:pPr>
      <w:r w:rsidRPr="00B91B74">
        <w:rPr>
          <w:bCs/>
        </w:rPr>
        <w:t xml:space="preserve">Побочные действия, </w:t>
      </w:r>
      <w:r w:rsidRPr="00B91B74">
        <w:t>связанные с применением набора реагентов, отсутствуют.</w:t>
      </w:r>
    </w:p>
    <w:p w14:paraId="3A79899E" w14:textId="63A13B3A" w:rsidR="00B0469C" w:rsidRPr="00B91B74" w:rsidRDefault="00B0469C" w:rsidP="00A87307">
      <w:pPr>
        <w:jc w:val="both"/>
        <w:rPr>
          <w:bCs/>
        </w:rPr>
      </w:pPr>
    </w:p>
    <w:p w14:paraId="3B6A0F31" w14:textId="2AB75327" w:rsidR="00B0469C" w:rsidRPr="00B91B74" w:rsidRDefault="00B0469C" w:rsidP="00A87307">
      <w:pPr>
        <w:jc w:val="both"/>
        <w:rPr>
          <w:b/>
        </w:rPr>
      </w:pPr>
      <w:r w:rsidRPr="00B91B74">
        <w:rPr>
          <w:b/>
          <w:lang w:val="en-US"/>
        </w:rPr>
        <w:t>VIII</w:t>
      </w:r>
      <w:r w:rsidRPr="00B91B74">
        <w:rPr>
          <w:b/>
        </w:rPr>
        <w:t>.</w:t>
      </w:r>
      <w:r w:rsidR="00560D26" w:rsidRPr="00B91B74">
        <w:rPr>
          <w:b/>
        </w:rPr>
        <w:tab/>
        <w:t>Потенциальные потребители и условия применения изделия</w:t>
      </w:r>
    </w:p>
    <w:p w14:paraId="78975879" w14:textId="30CC9D39" w:rsidR="00560D26" w:rsidRPr="00B91B74" w:rsidRDefault="00560D26" w:rsidP="00A87307">
      <w:pPr>
        <w:jc w:val="both"/>
        <w:rPr>
          <w:bCs/>
        </w:rPr>
      </w:pPr>
    </w:p>
    <w:p w14:paraId="34B868AD" w14:textId="6BE08F1E" w:rsidR="00306688" w:rsidRPr="00B91B74" w:rsidRDefault="00306688" w:rsidP="00A87307">
      <w:pPr>
        <w:jc w:val="both"/>
        <w:rPr>
          <w:bCs/>
        </w:rPr>
      </w:pPr>
      <w:r w:rsidRPr="00B91B74">
        <w:rPr>
          <w:bCs/>
        </w:rPr>
        <w:t>Область применения – клиническая лабораторная диагностика.</w:t>
      </w:r>
    </w:p>
    <w:p w14:paraId="13BE5310" w14:textId="67B97F19" w:rsidR="00560D26" w:rsidRPr="00B91B74" w:rsidRDefault="00560D26" w:rsidP="00A87307">
      <w:pPr>
        <w:jc w:val="both"/>
        <w:rPr>
          <w:bCs/>
        </w:rPr>
      </w:pPr>
      <w:r w:rsidRPr="00B91B74">
        <w:rPr>
          <w:bCs/>
        </w:rPr>
        <w:t>Набор реагентов предназначен только для профессионального применения. Проведение анализа должно осуществляться квалифицированным персоналом – специалистами в области клинической лабораторной диагностики.</w:t>
      </w:r>
    </w:p>
    <w:p w14:paraId="23DC0F71" w14:textId="1F27C232" w:rsidR="00560D26" w:rsidRPr="00B91B74" w:rsidRDefault="00560D26" w:rsidP="00A87307">
      <w:pPr>
        <w:jc w:val="both"/>
        <w:rPr>
          <w:bCs/>
        </w:rPr>
      </w:pPr>
      <w:r w:rsidRPr="00B91B74">
        <w:rPr>
          <w:bCs/>
        </w:rPr>
        <w:t xml:space="preserve">В соответствии с п. 3.4. Методических рекомендаций МР 3.1.0170-20 «Эпидемиология и профилактика COVID-19», утвержденных Главным государственным санитарным врачом Российской Федерации, первичные </w:t>
      </w:r>
      <w:proofErr w:type="spellStart"/>
      <w:r w:rsidRPr="00B91B74">
        <w:rPr>
          <w:bCs/>
        </w:rPr>
        <w:t>скрининговые</w:t>
      </w:r>
      <w:proofErr w:type="spellEnd"/>
      <w:r w:rsidRPr="00B91B74">
        <w:rPr>
          <w:bCs/>
        </w:rPr>
        <w:t xml:space="preserve"> исследования без выделения возбудителя могут проводиться на базе лабораторий, имеющих санитарно-эпидемиологическое заключение на работу с возбудителями инфекционных болезней человека III-IV группы патогенности, при этом к работе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 проведенный сотрудниками организаций и учреждений </w:t>
      </w:r>
      <w:proofErr w:type="spellStart"/>
      <w:r w:rsidRPr="00B91B74">
        <w:rPr>
          <w:bCs/>
        </w:rPr>
        <w:t>Роспотребнадзора</w:t>
      </w:r>
      <w:proofErr w:type="spellEnd"/>
      <w:r w:rsidRPr="00B91B74">
        <w:rPr>
          <w:bCs/>
        </w:rPr>
        <w:t xml:space="preserve">, осуществляющих деятельность с возбудителями инфекционных болезней человека II группы патогенности (работа по проведению таких инструктажей организуется на территориальном уровне путем сбора обращений, формирования учебных групп при согласовании территориальных органов </w:t>
      </w:r>
      <w:proofErr w:type="spellStart"/>
      <w:r w:rsidRPr="00B91B74">
        <w:rPr>
          <w:bCs/>
        </w:rPr>
        <w:t>Роспотребнадзора</w:t>
      </w:r>
      <w:proofErr w:type="spellEnd"/>
      <w:r w:rsidRPr="00B91B74">
        <w:rPr>
          <w:bCs/>
        </w:rPr>
        <w:t>).</w:t>
      </w:r>
    </w:p>
    <w:p w14:paraId="497B1E8C" w14:textId="134FC138" w:rsidR="00B0469C" w:rsidRPr="00B91B74" w:rsidRDefault="00B0469C" w:rsidP="00A87307">
      <w:pPr>
        <w:jc w:val="both"/>
        <w:rPr>
          <w:bCs/>
        </w:rPr>
      </w:pPr>
    </w:p>
    <w:p w14:paraId="75B44B72" w14:textId="0932C3CD" w:rsidR="00B0469C" w:rsidRPr="00B91B74" w:rsidRDefault="00B0469C" w:rsidP="00A87307">
      <w:pPr>
        <w:jc w:val="both"/>
        <w:rPr>
          <w:b/>
        </w:rPr>
      </w:pPr>
      <w:r w:rsidRPr="00B91B74">
        <w:rPr>
          <w:b/>
          <w:lang w:val="en-US"/>
        </w:rPr>
        <w:t>IX</w:t>
      </w:r>
      <w:r w:rsidRPr="00B91B74">
        <w:rPr>
          <w:b/>
        </w:rPr>
        <w:t>.</w:t>
      </w:r>
      <w:r w:rsidR="00306688" w:rsidRPr="00B91B74">
        <w:rPr>
          <w:b/>
        </w:rPr>
        <w:tab/>
        <w:t>Принцип анализа</w:t>
      </w:r>
    </w:p>
    <w:p w14:paraId="7B8E48CA" w14:textId="77777777" w:rsidR="00306688" w:rsidRPr="00B91B74" w:rsidRDefault="00306688" w:rsidP="00A87307">
      <w:pPr>
        <w:jc w:val="both"/>
        <w:rPr>
          <w:bCs/>
        </w:rPr>
      </w:pPr>
    </w:p>
    <w:p w14:paraId="335EBA27" w14:textId="1E270846" w:rsidR="007A3078" w:rsidRPr="00B91B74" w:rsidRDefault="002B596F" w:rsidP="00A87307">
      <w:pPr>
        <w:ind w:right="43"/>
        <w:jc w:val="both"/>
      </w:pPr>
      <w:r w:rsidRPr="00B91B74">
        <w:rPr>
          <w:bCs/>
        </w:rPr>
        <w:t xml:space="preserve">«Набор реагентов для </w:t>
      </w:r>
      <w:proofErr w:type="spellStart"/>
      <w:r w:rsidRPr="00B91B74">
        <w:rPr>
          <w:bCs/>
        </w:rPr>
        <w:t>иммунохроматографического</w:t>
      </w:r>
      <w:proofErr w:type="spellEnd"/>
      <w:r w:rsidRPr="00B91B74">
        <w:rPr>
          <w:bCs/>
        </w:rPr>
        <w:t xml:space="preserve"> выявления антигена SARS-CoV-2 на основе коллоидного золота в образцах мазков из носа и слюне человека «WANTAI SARS-CoV-2 </w:t>
      </w:r>
      <w:proofErr w:type="spellStart"/>
      <w:r w:rsidRPr="00B91B74">
        <w:rPr>
          <w:bCs/>
        </w:rPr>
        <w:t>Ag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Rapid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Test</w:t>
      </w:r>
      <w:proofErr w:type="spellEnd"/>
      <w:r w:rsidRPr="00B91B74">
        <w:rPr>
          <w:bCs/>
        </w:rPr>
        <w:t xml:space="preserve"> (</w:t>
      </w:r>
      <w:proofErr w:type="spellStart"/>
      <w:r w:rsidRPr="00B91B74">
        <w:rPr>
          <w:bCs/>
        </w:rPr>
        <w:t>Colloidal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</w:rPr>
        <w:t>Gold</w:t>
      </w:r>
      <w:proofErr w:type="spellEnd"/>
      <w:r w:rsidRPr="00B91B74">
        <w:rPr>
          <w:bCs/>
        </w:rPr>
        <w:t xml:space="preserve">)», </w:t>
      </w:r>
      <w:proofErr w:type="spellStart"/>
      <w:r w:rsidRPr="00B91B74">
        <w:rPr>
          <w:bCs/>
        </w:rPr>
        <w:t>Lot</w:t>
      </w:r>
      <w:proofErr w:type="spellEnd"/>
      <w:r w:rsidRPr="00B91B74">
        <w:rPr>
          <w:bCs/>
        </w:rPr>
        <w:t xml:space="preserve"> JNR20210801» </w:t>
      </w:r>
      <w:r w:rsidR="00306688" w:rsidRPr="00B91B74">
        <w:t xml:space="preserve">используется для обнаружения </w:t>
      </w:r>
      <w:proofErr w:type="spellStart"/>
      <w:r w:rsidR="00306688" w:rsidRPr="00B91B74">
        <w:t>нуклеокапсидного</w:t>
      </w:r>
      <w:proofErr w:type="spellEnd"/>
      <w:r w:rsidR="00306688" w:rsidRPr="00B91B74">
        <w:t xml:space="preserve"> антигена SARS-CoV-2 в мазке из носа и слюн</w:t>
      </w:r>
      <w:r w:rsidR="00B019F8" w:rsidRPr="00B91B74">
        <w:t>е</w:t>
      </w:r>
      <w:r w:rsidR="00306688" w:rsidRPr="00B91B74">
        <w:t xml:space="preserve"> человека с </w:t>
      </w:r>
      <w:r w:rsidR="00306688" w:rsidRPr="00B91B74">
        <w:lastRenderedPageBreak/>
        <w:t xml:space="preserve">использованием технологии </w:t>
      </w:r>
      <w:r w:rsidR="007A3078" w:rsidRPr="00B91B74">
        <w:t>бокового потока</w:t>
      </w:r>
      <w:r w:rsidR="00306688" w:rsidRPr="00B91B74">
        <w:t xml:space="preserve"> </w:t>
      </w:r>
      <w:r w:rsidR="00B019F8" w:rsidRPr="00B91B74">
        <w:t xml:space="preserve">с </w:t>
      </w:r>
      <w:r w:rsidR="007A3078" w:rsidRPr="00B91B74">
        <w:t>применением</w:t>
      </w:r>
      <w:r w:rsidR="00B019F8" w:rsidRPr="00B91B74">
        <w:t xml:space="preserve"> коллоидного золота</w:t>
      </w:r>
      <w:r w:rsidR="007A3078" w:rsidRPr="00B91B74">
        <w:t xml:space="preserve">. В данном тесте реализуется сэндвич-вариант </w:t>
      </w:r>
      <w:proofErr w:type="spellStart"/>
      <w:r w:rsidR="007A3078" w:rsidRPr="00B91B74">
        <w:t>иммуноанализа</w:t>
      </w:r>
      <w:proofErr w:type="spellEnd"/>
      <w:r w:rsidR="00B019F8" w:rsidRPr="00B91B74">
        <w:t xml:space="preserve"> </w:t>
      </w:r>
      <w:r w:rsidR="00306688" w:rsidRPr="00B91B74">
        <w:t>в кассетном формате.</w:t>
      </w:r>
    </w:p>
    <w:p w14:paraId="4E816E08" w14:textId="38426E48" w:rsidR="00306688" w:rsidRPr="00B91B74" w:rsidRDefault="00306688" w:rsidP="00A87307">
      <w:pPr>
        <w:ind w:right="43"/>
        <w:jc w:val="both"/>
      </w:pPr>
      <w:r w:rsidRPr="00B91B74">
        <w:t>Антитела к SARS-C</w:t>
      </w:r>
      <w:r w:rsidR="00DE52DD">
        <w:rPr>
          <w:lang w:val="en-US"/>
        </w:rPr>
        <w:t>o</w:t>
      </w:r>
      <w:r w:rsidRPr="00B91B74">
        <w:t>V-2 нанесены на тестовой линии на нитроцеллюлозной мембране, антитела к SARS-C</w:t>
      </w:r>
      <w:r w:rsidR="00DE52DD">
        <w:rPr>
          <w:lang w:val="en-US"/>
        </w:rPr>
        <w:t>o</w:t>
      </w:r>
      <w:r w:rsidRPr="00B91B74">
        <w:t>V-2, конъюгированные с коллоидным золотом, иммобилиз</w:t>
      </w:r>
      <w:r w:rsidR="000C42B1" w:rsidRPr="00B91B74">
        <w:t>ованы</w:t>
      </w:r>
      <w:r w:rsidRPr="00B91B74">
        <w:t xml:space="preserve"> в сухом виде </w:t>
      </w:r>
      <w:r w:rsidR="000C42B1" w:rsidRPr="00B91B74">
        <w:t>в</w:t>
      </w:r>
      <w:r w:rsidRPr="00B91B74">
        <w:t xml:space="preserve"> </w:t>
      </w:r>
      <w:r w:rsidR="000C42B1" w:rsidRPr="00B91B74">
        <w:t xml:space="preserve">«подушке» для </w:t>
      </w:r>
      <w:proofErr w:type="spellStart"/>
      <w:r w:rsidR="000C42B1" w:rsidRPr="00B91B74">
        <w:t>конъюгата</w:t>
      </w:r>
      <w:proofErr w:type="spellEnd"/>
      <w:r w:rsidRPr="00B91B74">
        <w:t xml:space="preserve">. В процессе тестирования </w:t>
      </w:r>
      <w:r w:rsidR="000C42B1" w:rsidRPr="00B91B74">
        <w:t>при</w:t>
      </w:r>
      <w:r w:rsidRPr="00B91B74">
        <w:t xml:space="preserve"> наличи</w:t>
      </w:r>
      <w:r w:rsidR="000C42B1" w:rsidRPr="00B91B74">
        <w:t>и</w:t>
      </w:r>
      <w:r w:rsidRPr="00B91B74">
        <w:t xml:space="preserve"> </w:t>
      </w:r>
      <w:r w:rsidR="00F36665" w:rsidRPr="00B91B74">
        <w:t xml:space="preserve">в образце </w:t>
      </w:r>
      <w:proofErr w:type="spellStart"/>
      <w:r w:rsidRPr="00B91B74">
        <w:t>нуклеокапсидного</w:t>
      </w:r>
      <w:proofErr w:type="spellEnd"/>
      <w:r w:rsidRPr="00B91B74">
        <w:t xml:space="preserve"> антигена SARS-C</w:t>
      </w:r>
      <w:r w:rsidR="00DE52DD">
        <w:rPr>
          <w:lang w:val="en-US"/>
        </w:rPr>
        <w:t>o</w:t>
      </w:r>
      <w:r w:rsidRPr="00B91B74">
        <w:t xml:space="preserve">V-2 </w:t>
      </w:r>
      <w:r w:rsidR="00F36665" w:rsidRPr="00B91B74">
        <w:t>формиру</w:t>
      </w:r>
      <w:r w:rsidR="001A2FCE" w:rsidRPr="00B91B74">
        <w:t>ю</w:t>
      </w:r>
      <w:r w:rsidR="00F36665" w:rsidRPr="00B91B74">
        <w:t>тся</w:t>
      </w:r>
      <w:r w:rsidRPr="00B91B74">
        <w:t xml:space="preserve"> комплекс</w:t>
      </w:r>
      <w:r w:rsidR="001A2FCE" w:rsidRPr="00B91B74">
        <w:t>ы</w:t>
      </w:r>
      <w:r w:rsidRPr="00B91B74">
        <w:t xml:space="preserve"> «</w:t>
      </w:r>
      <w:r w:rsidR="00793C79" w:rsidRPr="00B91B74">
        <w:t xml:space="preserve">иммобилизованное </w:t>
      </w:r>
      <w:r w:rsidRPr="00B91B74">
        <w:t xml:space="preserve">антитело </w:t>
      </w:r>
      <w:r w:rsidR="00793C79" w:rsidRPr="00B91B74">
        <w:t>–</w:t>
      </w:r>
      <w:r w:rsidRPr="00B91B74">
        <w:t xml:space="preserve"> антиген </w:t>
      </w:r>
      <w:r w:rsidR="00793C79" w:rsidRPr="00B91B74">
        <w:t>–</w:t>
      </w:r>
      <w:r w:rsidRPr="00B91B74">
        <w:t xml:space="preserve"> антитело, конъюгированное с коллоидным золотом»</w:t>
      </w:r>
      <w:r w:rsidR="00F36665" w:rsidRPr="00B91B74">
        <w:t xml:space="preserve">. Агрегирование комплексов происходит в </w:t>
      </w:r>
      <w:r w:rsidRPr="00B91B74">
        <w:t>тестовой зоне (T)</w:t>
      </w:r>
      <w:r w:rsidR="00F36665" w:rsidRPr="00B91B74">
        <w:t xml:space="preserve"> полоски, в результате чего здесь появляется красная линия.</w:t>
      </w:r>
    </w:p>
    <w:p w14:paraId="559369D4" w14:textId="008D44E3" w:rsidR="00306688" w:rsidRPr="00B91B74" w:rsidRDefault="001A2FCE" w:rsidP="00A87307">
      <w:pPr>
        <w:ind w:left="16" w:right="43" w:hanging="10"/>
        <w:jc w:val="both"/>
      </w:pPr>
      <w:r w:rsidRPr="00B91B74">
        <w:t>При</w:t>
      </w:r>
      <w:r w:rsidR="00306688" w:rsidRPr="00B91B74">
        <w:t xml:space="preserve"> отсутстви</w:t>
      </w:r>
      <w:r w:rsidRPr="00B91B74">
        <w:t>и</w:t>
      </w:r>
      <w:r w:rsidR="00306688" w:rsidRPr="00B91B74">
        <w:t xml:space="preserve"> </w:t>
      </w:r>
      <w:r w:rsidR="0068663D" w:rsidRPr="00B91B74">
        <w:t xml:space="preserve">в образце </w:t>
      </w:r>
      <w:proofErr w:type="spellStart"/>
      <w:r w:rsidR="00306688" w:rsidRPr="00B91B74">
        <w:t>нуклеокапсидного</w:t>
      </w:r>
      <w:proofErr w:type="spellEnd"/>
      <w:r w:rsidR="00306688" w:rsidRPr="00B91B74">
        <w:t xml:space="preserve"> антигена SARS-CoV-2 в </w:t>
      </w:r>
      <w:r w:rsidR="00F36665" w:rsidRPr="00B91B74">
        <w:t xml:space="preserve">тестовой </w:t>
      </w:r>
      <w:r w:rsidR="00306688" w:rsidRPr="00B91B74">
        <w:t xml:space="preserve">зоне (Т) не будет образовываться красная линия. Вторые </w:t>
      </w:r>
      <w:proofErr w:type="spellStart"/>
      <w:r w:rsidR="00306688" w:rsidRPr="00B91B74">
        <w:t>моноклональные</w:t>
      </w:r>
      <w:proofErr w:type="spellEnd"/>
      <w:r w:rsidR="00306688" w:rsidRPr="00B91B74">
        <w:t xml:space="preserve"> антитела, </w:t>
      </w:r>
      <w:r w:rsidRPr="00B91B74">
        <w:t>которые иммобилизованы</w:t>
      </w:r>
      <w:r w:rsidR="00306688" w:rsidRPr="00B91B74">
        <w:t xml:space="preserve"> на контрольн</w:t>
      </w:r>
      <w:r w:rsidRPr="00B91B74">
        <w:t>ой</w:t>
      </w:r>
      <w:r w:rsidR="00306688" w:rsidRPr="00B91B74">
        <w:t xml:space="preserve"> лини</w:t>
      </w:r>
      <w:r w:rsidRPr="00B91B74">
        <w:t>и</w:t>
      </w:r>
      <w:r w:rsidR="00306688" w:rsidRPr="00B91B74">
        <w:t xml:space="preserve"> на нитроцеллюлозной мембране, </w:t>
      </w:r>
      <w:r w:rsidRPr="00B91B74">
        <w:t>способны</w:t>
      </w:r>
      <w:r w:rsidR="00306688" w:rsidRPr="00B91B74">
        <w:t xml:space="preserve"> захватывать антитела, конъюгированные с коллоидным золотом</w:t>
      </w:r>
      <w:r w:rsidRPr="00B91B74">
        <w:t>,</w:t>
      </w:r>
      <w:r w:rsidR="00306688" w:rsidRPr="00B91B74">
        <w:t xml:space="preserve"> с образованием красной линии в контрольной зоне (C), </w:t>
      </w:r>
      <w:r w:rsidRPr="00B91B74">
        <w:t xml:space="preserve">появление </w:t>
      </w:r>
      <w:r w:rsidR="00306688" w:rsidRPr="00B91B74">
        <w:t>котор</w:t>
      </w:r>
      <w:r w:rsidRPr="00B91B74">
        <w:t>ой</w:t>
      </w:r>
      <w:r w:rsidR="00306688" w:rsidRPr="00B91B74">
        <w:t xml:space="preserve"> указывает на достоверность теста.</w:t>
      </w:r>
    </w:p>
    <w:p w14:paraId="141AA255" w14:textId="5CD24748" w:rsidR="001A2FCE" w:rsidRPr="00B91B74" w:rsidRDefault="001A2FCE" w:rsidP="00A87307">
      <w:pPr>
        <w:ind w:left="16" w:right="43" w:hanging="10"/>
        <w:jc w:val="both"/>
      </w:pPr>
    </w:p>
    <w:p w14:paraId="7CDE922C" w14:textId="5BD33CCE" w:rsidR="00B0469C" w:rsidRPr="00B91B74" w:rsidRDefault="001A2FCE" w:rsidP="00A87307">
      <w:pPr>
        <w:jc w:val="both"/>
        <w:rPr>
          <w:b/>
        </w:rPr>
      </w:pPr>
      <w:r w:rsidRPr="00B91B74">
        <w:rPr>
          <w:b/>
          <w:lang w:val="en-US"/>
        </w:rPr>
        <w:t>X</w:t>
      </w:r>
      <w:r w:rsidRPr="00B91B74">
        <w:rPr>
          <w:b/>
        </w:rPr>
        <w:t>.</w:t>
      </w:r>
      <w:r w:rsidRPr="00B91B74">
        <w:rPr>
          <w:b/>
        </w:rPr>
        <w:tab/>
      </w:r>
      <w:r w:rsidR="00F63254" w:rsidRPr="00B91B74">
        <w:rPr>
          <w:b/>
        </w:rPr>
        <w:t>Описание компонентов изделия</w:t>
      </w:r>
    </w:p>
    <w:p w14:paraId="51D09B74" w14:textId="4AE88B34" w:rsidR="00F63254" w:rsidRPr="00B91B74" w:rsidRDefault="00F63254" w:rsidP="00A87307">
      <w:pPr>
        <w:jc w:val="both"/>
        <w:rPr>
          <w:bCs/>
        </w:rPr>
      </w:pPr>
    </w:p>
    <w:p w14:paraId="56313077" w14:textId="4037F493" w:rsidR="00F63254" w:rsidRPr="00B91B74" w:rsidRDefault="009727CD" w:rsidP="00A87307">
      <w:pPr>
        <w:jc w:val="both"/>
      </w:pPr>
      <w:r w:rsidRPr="00B91B74">
        <w:rPr>
          <w:bCs/>
          <w:i/>
          <w:iCs/>
        </w:rPr>
        <w:t>Тест-кассета</w:t>
      </w:r>
      <w:r w:rsidRPr="00B91B74">
        <w:rPr>
          <w:bCs/>
        </w:rPr>
        <w:t xml:space="preserve">: иммобилизованный материал – </w:t>
      </w:r>
      <w:r w:rsidRPr="00B91B74">
        <w:t xml:space="preserve">немеченые </w:t>
      </w:r>
      <w:r w:rsidRPr="00B91B74">
        <w:rPr>
          <w:bCs/>
        </w:rPr>
        <w:t xml:space="preserve">мышиные </w:t>
      </w:r>
      <w:proofErr w:type="spellStart"/>
      <w:r w:rsidRPr="00B91B74">
        <w:rPr>
          <w:bCs/>
        </w:rPr>
        <w:t>моноклональные</w:t>
      </w:r>
      <w:proofErr w:type="spellEnd"/>
      <w:r w:rsidRPr="00B91B74">
        <w:rPr>
          <w:bCs/>
        </w:rPr>
        <w:t xml:space="preserve"> антитела к </w:t>
      </w:r>
      <w:proofErr w:type="spellStart"/>
      <w:r w:rsidRPr="00B91B74">
        <w:t>нуклеокапсидному</w:t>
      </w:r>
      <w:proofErr w:type="spellEnd"/>
      <w:r w:rsidRPr="00B91B74">
        <w:t xml:space="preserve"> антигену </w:t>
      </w:r>
      <w:proofErr w:type="spellStart"/>
      <w:r w:rsidRPr="00B91B74">
        <w:t>коронавируса</w:t>
      </w:r>
      <w:proofErr w:type="spellEnd"/>
      <w:r w:rsidRPr="00B91B74">
        <w:t xml:space="preserve"> SARS-CoV-2 (тестовая (Т) зона), козьи антитела к антителам мыши (контрольная (С) зона); конъюгированный материал – меченные коллоидным золотом </w:t>
      </w:r>
      <w:r w:rsidRPr="00B91B74">
        <w:rPr>
          <w:bCs/>
        </w:rPr>
        <w:t xml:space="preserve">мышиные </w:t>
      </w:r>
      <w:proofErr w:type="spellStart"/>
      <w:r w:rsidRPr="00B91B74">
        <w:rPr>
          <w:bCs/>
        </w:rPr>
        <w:t>моноклональные</w:t>
      </w:r>
      <w:proofErr w:type="spellEnd"/>
      <w:r w:rsidRPr="00B91B74">
        <w:rPr>
          <w:bCs/>
        </w:rPr>
        <w:t xml:space="preserve"> антитела к </w:t>
      </w:r>
      <w:proofErr w:type="spellStart"/>
      <w:r w:rsidRPr="00B91B74">
        <w:t>нуклеокапсидному</w:t>
      </w:r>
      <w:proofErr w:type="spellEnd"/>
      <w:r w:rsidRPr="00B91B74">
        <w:t xml:space="preserve"> антигену </w:t>
      </w:r>
      <w:proofErr w:type="spellStart"/>
      <w:r w:rsidRPr="00B91B74">
        <w:t>коронавируса</w:t>
      </w:r>
      <w:proofErr w:type="spellEnd"/>
      <w:r w:rsidRPr="00B91B74">
        <w:t xml:space="preserve"> SARS-CoV-2.</w:t>
      </w:r>
    </w:p>
    <w:p w14:paraId="1B5B7E0F" w14:textId="59492205" w:rsidR="009727CD" w:rsidRPr="00B91B74" w:rsidRDefault="0088343D" w:rsidP="00A87307">
      <w:pPr>
        <w:jc w:val="both"/>
        <w:rPr>
          <w:bCs/>
        </w:rPr>
      </w:pPr>
      <w:r w:rsidRPr="00B91B74">
        <w:rPr>
          <w:bCs/>
          <w:i/>
          <w:iCs/>
        </w:rPr>
        <w:t>Буферный раствор для экстракции</w:t>
      </w:r>
      <w:r w:rsidR="00E16350" w:rsidRPr="00B91B74">
        <w:rPr>
          <w:bCs/>
        </w:rPr>
        <w:t xml:space="preserve"> (по 0,5 мл в пробирке)</w:t>
      </w:r>
      <w:r w:rsidRPr="00B91B74">
        <w:rPr>
          <w:bCs/>
        </w:rPr>
        <w:t xml:space="preserve">: боратный буфер, содержащий </w:t>
      </w:r>
      <w:proofErr w:type="spellStart"/>
      <w:r w:rsidRPr="00B91B74">
        <w:rPr>
          <w:bCs/>
        </w:rPr>
        <w:t>сурфактант</w:t>
      </w:r>
      <w:proofErr w:type="spellEnd"/>
      <w:r w:rsidRPr="00B91B74">
        <w:rPr>
          <w:bCs/>
        </w:rPr>
        <w:t>.</w:t>
      </w:r>
    </w:p>
    <w:p w14:paraId="5411FB1C" w14:textId="657E9FFA" w:rsidR="00F63254" w:rsidRPr="00B91B74" w:rsidRDefault="0088343D" w:rsidP="00A87307">
      <w:pPr>
        <w:jc w:val="both"/>
        <w:rPr>
          <w:bCs/>
        </w:rPr>
      </w:pPr>
      <w:r w:rsidRPr="00B91B74">
        <w:rPr>
          <w:bCs/>
          <w:i/>
          <w:iCs/>
        </w:rPr>
        <w:t>Стерильный зонд-тампон для взятия образцов</w:t>
      </w:r>
      <w:r w:rsidRPr="00B91B74">
        <w:rPr>
          <w:bCs/>
        </w:rPr>
        <w:t xml:space="preserve">: нейлоновый зонд </w:t>
      </w:r>
      <w:r w:rsidRPr="00B91B74">
        <w:rPr>
          <w:bCs/>
          <w:lang w:val="en-US"/>
        </w:rPr>
        <w:t>CITOSWAB</w:t>
      </w:r>
      <w:r w:rsidRPr="00B91B74">
        <w:rPr>
          <w:bCs/>
          <w:vertAlign w:val="superscript"/>
        </w:rPr>
        <w:t>®</w:t>
      </w:r>
      <w:r w:rsidRPr="00B91B74">
        <w:rPr>
          <w:bCs/>
        </w:rPr>
        <w:t xml:space="preserve">, стерилизованный радиацией, производства </w:t>
      </w:r>
      <w:proofErr w:type="spellStart"/>
      <w:r w:rsidRPr="00B91B74">
        <w:rPr>
          <w:bCs/>
          <w:lang w:val="en-US"/>
        </w:rPr>
        <w:t>Citotest</w:t>
      </w:r>
      <w:proofErr w:type="spellEnd"/>
      <w:r w:rsidRPr="00B91B74">
        <w:rPr>
          <w:bCs/>
        </w:rPr>
        <w:t xml:space="preserve"> </w:t>
      </w:r>
      <w:proofErr w:type="spellStart"/>
      <w:r w:rsidRPr="00B91B74">
        <w:rPr>
          <w:bCs/>
          <w:lang w:val="en-US"/>
        </w:rPr>
        <w:t>Labware</w:t>
      </w:r>
      <w:proofErr w:type="spellEnd"/>
      <w:r w:rsidRPr="00B91B74">
        <w:rPr>
          <w:bCs/>
        </w:rPr>
        <w:t xml:space="preserve"> </w:t>
      </w:r>
      <w:r w:rsidRPr="00B91B74">
        <w:rPr>
          <w:bCs/>
          <w:lang w:val="en-US"/>
        </w:rPr>
        <w:t>Manufacturing</w:t>
      </w:r>
      <w:r w:rsidRPr="00B91B74">
        <w:rPr>
          <w:bCs/>
        </w:rPr>
        <w:t xml:space="preserve"> </w:t>
      </w:r>
      <w:r w:rsidRPr="00B91B74">
        <w:rPr>
          <w:bCs/>
          <w:lang w:val="en-US"/>
        </w:rPr>
        <w:t>Co</w:t>
      </w:r>
      <w:r w:rsidRPr="00B91B74">
        <w:rPr>
          <w:bCs/>
        </w:rPr>
        <w:t xml:space="preserve">., </w:t>
      </w:r>
      <w:r w:rsidRPr="00B91B74">
        <w:rPr>
          <w:bCs/>
          <w:lang w:val="en-US"/>
        </w:rPr>
        <w:t>Ltd</w:t>
      </w:r>
      <w:r w:rsidRPr="00B91B74">
        <w:rPr>
          <w:bCs/>
        </w:rPr>
        <w:t>., Китай.</w:t>
      </w:r>
    </w:p>
    <w:p w14:paraId="05EDEEB3" w14:textId="77777777" w:rsidR="0062496A" w:rsidRDefault="0062496A" w:rsidP="0062496A">
      <w:pPr>
        <w:tabs>
          <w:tab w:val="left" w:pos="1420"/>
        </w:tabs>
        <w:jc w:val="both"/>
      </w:pPr>
    </w:p>
    <w:p w14:paraId="72722F99" w14:textId="219901FC" w:rsidR="0062496A" w:rsidRPr="0062496A" w:rsidRDefault="0062496A" w:rsidP="0062496A">
      <w:pPr>
        <w:tabs>
          <w:tab w:val="left" w:pos="1420"/>
        </w:tabs>
        <w:jc w:val="both"/>
      </w:pPr>
      <w:r w:rsidRPr="00B91B74">
        <w:t xml:space="preserve">Компоненты набора не содержат лекарственных средств </w:t>
      </w:r>
      <w:r>
        <w:t>и</w:t>
      </w:r>
      <w:r w:rsidRPr="00B91B74">
        <w:t xml:space="preserve"> материалов человеческого происхождения. </w:t>
      </w:r>
      <w:r>
        <w:t>Применяемые материалы животного происхождения безопасны для человека.</w:t>
      </w:r>
    </w:p>
    <w:p w14:paraId="2111026F" w14:textId="249713ED" w:rsidR="00B0469C" w:rsidRPr="00B91B74" w:rsidRDefault="00B0469C" w:rsidP="00A87307">
      <w:pPr>
        <w:jc w:val="both"/>
        <w:rPr>
          <w:bCs/>
        </w:rPr>
      </w:pPr>
    </w:p>
    <w:p w14:paraId="5D19F026" w14:textId="6C6AD7F9" w:rsidR="00F63254" w:rsidRPr="00B91B74" w:rsidRDefault="00B0469C" w:rsidP="00A87307">
      <w:pPr>
        <w:jc w:val="both"/>
        <w:rPr>
          <w:b/>
        </w:rPr>
      </w:pPr>
      <w:r w:rsidRPr="00B91B74">
        <w:rPr>
          <w:b/>
          <w:lang w:val="en-US"/>
        </w:rPr>
        <w:t>XI</w:t>
      </w:r>
      <w:r w:rsidRPr="00B91B74">
        <w:rPr>
          <w:b/>
        </w:rPr>
        <w:t>.</w:t>
      </w:r>
      <w:r w:rsidR="007E640C" w:rsidRPr="00B91B74">
        <w:rPr>
          <w:b/>
        </w:rPr>
        <w:tab/>
      </w:r>
      <w:r w:rsidR="00F63254" w:rsidRPr="00B91B74">
        <w:rPr>
          <w:b/>
        </w:rPr>
        <w:t>Ограничения применения</w:t>
      </w:r>
    </w:p>
    <w:p w14:paraId="6EF86125" w14:textId="77777777" w:rsidR="00AD7E19" w:rsidRPr="00B91B74" w:rsidRDefault="00AD7E19" w:rsidP="00A87307">
      <w:pPr>
        <w:jc w:val="both"/>
        <w:rPr>
          <w:bCs/>
        </w:rPr>
      </w:pPr>
    </w:p>
    <w:p w14:paraId="382D998D" w14:textId="7EBADDEC" w:rsidR="00AD7E19" w:rsidRPr="00B91B74" w:rsidRDefault="00E35CD7" w:rsidP="00A87307">
      <w:pPr>
        <w:pStyle w:val="a5"/>
        <w:spacing w:after="0" w:line="240" w:lineRule="auto"/>
        <w:ind w:left="0" w:right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B74">
        <w:rPr>
          <w:rFonts w:ascii="Times New Roman" w:hAnsi="Times New Roman" w:cs="Times New Roman"/>
          <w:sz w:val="24"/>
          <w:szCs w:val="24"/>
        </w:rPr>
        <w:sym w:font="Symbol" w:char="F0B7"/>
      </w:r>
      <w:r w:rsidRPr="00B91B74">
        <w:rPr>
          <w:rFonts w:ascii="Times New Roman" w:hAnsi="Times New Roman" w:cs="Times New Roman"/>
          <w:sz w:val="24"/>
          <w:szCs w:val="24"/>
        </w:rPr>
        <w:tab/>
      </w:r>
      <w:r w:rsidR="00AD7E19" w:rsidRPr="00B91B74">
        <w:rPr>
          <w:rFonts w:ascii="Times New Roman" w:hAnsi="Times New Roman" w:cs="Times New Roman"/>
          <w:sz w:val="24"/>
          <w:szCs w:val="24"/>
        </w:rPr>
        <w:t xml:space="preserve">Тест используется для обнаружения </w:t>
      </w:r>
      <w:proofErr w:type="spellStart"/>
      <w:r w:rsidR="00AD7E19" w:rsidRPr="00B91B74">
        <w:rPr>
          <w:rFonts w:ascii="Times New Roman" w:hAnsi="Times New Roman" w:cs="Times New Roman"/>
          <w:sz w:val="24"/>
          <w:szCs w:val="24"/>
        </w:rPr>
        <w:t>нуклеокапсидного</w:t>
      </w:r>
      <w:proofErr w:type="spellEnd"/>
      <w:r w:rsidR="00AD7E19" w:rsidRPr="00B91B74">
        <w:rPr>
          <w:rFonts w:ascii="Times New Roman" w:hAnsi="Times New Roman" w:cs="Times New Roman"/>
          <w:sz w:val="24"/>
          <w:szCs w:val="24"/>
        </w:rPr>
        <w:t xml:space="preserve"> антигена SARS-CoV-2 в мазке из носа и образцах слюны человека. Эффективность теста зависит от количества вируса в образце и может коррелировать или не коррелировать с результатами культивирования</w:t>
      </w:r>
      <w:r w:rsidR="004F793A" w:rsidRPr="004F793A">
        <w:rPr>
          <w:rFonts w:ascii="Times New Roman" w:hAnsi="Times New Roman" w:cs="Times New Roman"/>
          <w:sz w:val="24"/>
          <w:szCs w:val="24"/>
        </w:rPr>
        <w:t xml:space="preserve"> </w:t>
      </w:r>
      <w:r w:rsidR="004F793A" w:rsidRPr="00B91B74">
        <w:rPr>
          <w:rFonts w:ascii="Times New Roman" w:hAnsi="Times New Roman" w:cs="Times New Roman"/>
          <w:sz w:val="24"/>
          <w:szCs w:val="24"/>
        </w:rPr>
        <w:t>вирус</w:t>
      </w:r>
      <w:r w:rsidR="004F793A">
        <w:rPr>
          <w:rFonts w:ascii="Times New Roman" w:hAnsi="Times New Roman" w:cs="Times New Roman"/>
          <w:sz w:val="24"/>
          <w:szCs w:val="24"/>
        </w:rPr>
        <w:t>а</w:t>
      </w:r>
      <w:r w:rsidR="00AD7E19" w:rsidRPr="00B91B74">
        <w:rPr>
          <w:rFonts w:ascii="Times New Roman" w:hAnsi="Times New Roman" w:cs="Times New Roman"/>
          <w:sz w:val="24"/>
          <w:szCs w:val="24"/>
        </w:rPr>
        <w:t>, полученными на том же образце.</w:t>
      </w:r>
    </w:p>
    <w:p w14:paraId="011CFA1A" w14:textId="5996D289" w:rsidR="00F63254" w:rsidRPr="00B91B74" w:rsidRDefault="00E35CD7" w:rsidP="00A87307">
      <w:pPr>
        <w:ind w:left="16" w:right="43"/>
        <w:jc w:val="both"/>
      </w:pPr>
      <w:r w:rsidRPr="00B91B74">
        <w:sym w:font="Symbol" w:char="F0B7"/>
      </w:r>
      <w:r w:rsidRPr="00B91B74">
        <w:tab/>
      </w:r>
      <w:r w:rsidR="00F63254" w:rsidRPr="00B91B74">
        <w:t xml:space="preserve">Антиген SARS-CoV-2 обычно обнаруживается в образцах из верхних дыхательных путей во время острой фазы инфекции. Положительные результаты указывают на присутствие </w:t>
      </w:r>
      <w:proofErr w:type="spellStart"/>
      <w:r w:rsidR="004F793A" w:rsidRPr="00B91B74">
        <w:t>нуклеокапсидного</w:t>
      </w:r>
      <w:proofErr w:type="spellEnd"/>
      <w:r w:rsidR="004F793A" w:rsidRPr="00B91B74">
        <w:t xml:space="preserve"> антигена </w:t>
      </w:r>
      <w:r w:rsidR="00F63254" w:rsidRPr="00B91B74">
        <w:t>вирус</w:t>
      </w:r>
      <w:r w:rsidR="004F793A">
        <w:t>а</w:t>
      </w:r>
      <w:r w:rsidR="00F63254" w:rsidRPr="00B91B74">
        <w:t xml:space="preserve">, </w:t>
      </w:r>
      <w:r w:rsidR="004F793A">
        <w:t>однако</w:t>
      </w:r>
      <w:r w:rsidR="00F63254" w:rsidRPr="00B91B74">
        <w:t xml:space="preserve"> для определения статуса инфекционного процесса необходима клиническая корреляция с историей пациента и другой диагностической информацией. Положительные результаты не исключают бактериальную инфекцию или </w:t>
      </w:r>
      <w:proofErr w:type="spellStart"/>
      <w:r w:rsidR="00F63254" w:rsidRPr="00B91B74">
        <w:t>коинфекцию</w:t>
      </w:r>
      <w:proofErr w:type="spellEnd"/>
      <w:r w:rsidR="00F63254" w:rsidRPr="00B91B74">
        <w:t xml:space="preserve"> с другими вирусами. Обнаруженный агент может не быть истинной причиной заболевания.</w:t>
      </w:r>
    </w:p>
    <w:p w14:paraId="5D739D90" w14:textId="77777777" w:rsidR="00E35CD7" w:rsidRPr="00B91B74" w:rsidRDefault="00E35CD7" w:rsidP="00A87307">
      <w:pPr>
        <w:pStyle w:val="a5"/>
        <w:spacing w:after="0" w:line="240" w:lineRule="auto"/>
        <w:ind w:left="0" w:right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B74">
        <w:rPr>
          <w:rFonts w:ascii="Times New Roman" w:hAnsi="Times New Roman" w:cs="Times New Roman"/>
          <w:sz w:val="24"/>
          <w:szCs w:val="24"/>
        </w:rPr>
        <w:sym w:font="Symbol" w:char="F0B7"/>
      </w:r>
      <w:r w:rsidRPr="00B91B74">
        <w:rPr>
          <w:rFonts w:ascii="Times New Roman" w:hAnsi="Times New Roman" w:cs="Times New Roman"/>
          <w:sz w:val="24"/>
          <w:szCs w:val="24"/>
        </w:rPr>
        <w:tab/>
        <w:t>Отрицательный результат может быть получен, если уровень антигена в образце ниже предела обнаружения теста или если образец был собран или транспортировался неправильно. Образец, взятый после 7-го дня болезни, с большей вероятностью будет отрицательным. Отрицательный результат теста не исключает возможности заражения SARS-CoV-2.</w:t>
      </w:r>
    </w:p>
    <w:p w14:paraId="4FB359FD" w14:textId="3E7F34DC" w:rsidR="00F63254" w:rsidRPr="00B91B74" w:rsidRDefault="00E35CD7" w:rsidP="00A87307">
      <w:pPr>
        <w:jc w:val="both"/>
      </w:pPr>
      <w:r w:rsidRPr="00B91B74">
        <w:sym w:font="Symbol" w:char="F0B7"/>
      </w:r>
      <w:r w:rsidRPr="00B91B74">
        <w:tab/>
      </w:r>
      <w:r w:rsidR="00F63254" w:rsidRPr="00B91B74">
        <w:t xml:space="preserve">Отрицательные результаты следует рассматривать как </w:t>
      </w:r>
      <w:r w:rsidRPr="00B91B74">
        <w:t>предположительные</w:t>
      </w:r>
      <w:r w:rsidR="00F63254" w:rsidRPr="00B91B74">
        <w:t xml:space="preserve"> и подтверждать анализом нуклеиновых кислот, если это необходимо для ведения пациента. Отрицательные результаты не исключают </w:t>
      </w:r>
      <w:r w:rsidR="009930AA" w:rsidRPr="00B91B74">
        <w:t>инфекции</w:t>
      </w:r>
      <w:r w:rsidRPr="00B91B74">
        <w:t xml:space="preserve"> </w:t>
      </w:r>
      <w:r w:rsidR="00F63254" w:rsidRPr="00B91B74">
        <w:t xml:space="preserve">COVID-19 и </w:t>
      </w:r>
      <w:r w:rsidR="003529D3">
        <w:t>их</w:t>
      </w:r>
      <w:r w:rsidR="00F63254" w:rsidRPr="00B91B74">
        <w:t xml:space="preserve"> следует рассматривать </w:t>
      </w:r>
      <w:r w:rsidR="00F63254" w:rsidRPr="00B91B74">
        <w:lastRenderedPageBreak/>
        <w:t>в контексте недавн</w:t>
      </w:r>
      <w:r w:rsidRPr="00B91B74">
        <w:t>их</w:t>
      </w:r>
      <w:r w:rsidR="00F63254" w:rsidRPr="00B91B74">
        <w:t xml:space="preserve"> контакт</w:t>
      </w:r>
      <w:r w:rsidRPr="00B91B74">
        <w:t>ов</w:t>
      </w:r>
      <w:r w:rsidR="00F63254" w:rsidRPr="00B91B74">
        <w:t xml:space="preserve"> пациент</w:t>
      </w:r>
      <w:r w:rsidRPr="00B91B74">
        <w:t>а</w:t>
      </w:r>
      <w:r w:rsidR="00F63254" w:rsidRPr="00B91B74">
        <w:t>, истории болезни и наличия клинических симптомов.</w:t>
      </w:r>
    </w:p>
    <w:p w14:paraId="2E900EA3" w14:textId="620381D2" w:rsidR="00F63254" w:rsidRPr="00B91B74" w:rsidRDefault="00E35CD7" w:rsidP="00A87307">
      <w:pPr>
        <w:jc w:val="both"/>
        <w:rPr>
          <w:bCs/>
        </w:rPr>
      </w:pPr>
      <w:r w:rsidRPr="00B91B74">
        <w:sym w:font="Symbol" w:char="F0B7"/>
      </w:r>
      <w:r w:rsidRPr="00B91B74">
        <w:tab/>
      </w:r>
      <w:r w:rsidR="00F63254" w:rsidRPr="00B91B74">
        <w:rPr>
          <w:bCs/>
        </w:rPr>
        <w:t xml:space="preserve">Этот тест предназначен для первичного скрининга </w:t>
      </w:r>
      <w:proofErr w:type="spellStart"/>
      <w:r w:rsidR="00F63254" w:rsidRPr="00B91B74">
        <w:rPr>
          <w:bCs/>
        </w:rPr>
        <w:t>коронавирусной</w:t>
      </w:r>
      <w:proofErr w:type="spellEnd"/>
      <w:r w:rsidR="00F63254" w:rsidRPr="00B91B74">
        <w:rPr>
          <w:bCs/>
        </w:rPr>
        <w:t xml:space="preserve"> инфекции посредством обнаружения антигенов SARS-CoV-2. Результат этого теста </w:t>
      </w:r>
      <w:r w:rsidR="009930AA" w:rsidRPr="00B91B74">
        <w:t>не долж</w:t>
      </w:r>
      <w:r w:rsidR="00D46CF9">
        <w:t>ен</w:t>
      </w:r>
      <w:r w:rsidR="009930AA" w:rsidRPr="00B91B74">
        <w:t xml:space="preserve"> рассматриваться в качестве единственного критерия для принятия решений о лечении или ведении пациентов и о контроле за инфекцией. </w:t>
      </w:r>
      <w:r w:rsidR="00F63254" w:rsidRPr="00B91B74">
        <w:rPr>
          <w:bCs/>
        </w:rPr>
        <w:t>Для постановки диагноза необходимо использовать другие методы и клинические данные.</w:t>
      </w:r>
    </w:p>
    <w:p w14:paraId="4E7E1590" w14:textId="77777777" w:rsidR="00BF615A" w:rsidRPr="00B91B74" w:rsidRDefault="00BF615A" w:rsidP="00A87307">
      <w:pPr>
        <w:ind w:left="16" w:right="43"/>
        <w:jc w:val="both"/>
      </w:pPr>
      <w:r w:rsidRPr="00B91B74">
        <w:sym w:font="Symbol" w:char="F0B7"/>
      </w:r>
      <w:r w:rsidRPr="00B91B74">
        <w:tab/>
        <w:t>Важно соблюдать правильные методы сбора и подготовки образцов. Неправильный сбор образцов, неправильное обращение с образцами и / или транспортировка могут привести к ложноотрицательным результатам.</w:t>
      </w:r>
    </w:p>
    <w:p w14:paraId="0FB81FA9" w14:textId="23D25280" w:rsidR="00F63254" w:rsidRPr="00B91B74" w:rsidRDefault="009930AA" w:rsidP="00A87307">
      <w:pPr>
        <w:pStyle w:val="a5"/>
        <w:spacing w:after="0" w:line="240" w:lineRule="auto"/>
        <w:ind w:left="0" w:right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B74">
        <w:rPr>
          <w:rFonts w:ascii="Times New Roman" w:hAnsi="Times New Roman" w:cs="Times New Roman"/>
          <w:sz w:val="24"/>
          <w:szCs w:val="24"/>
        </w:rPr>
        <w:sym w:font="Symbol" w:char="F0B7"/>
      </w:r>
      <w:r w:rsidRPr="00B91B74">
        <w:rPr>
          <w:rFonts w:ascii="Times New Roman" w:hAnsi="Times New Roman" w:cs="Times New Roman"/>
          <w:sz w:val="24"/>
          <w:szCs w:val="24"/>
        </w:rPr>
        <w:tab/>
      </w:r>
      <w:r w:rsidR="00F63254" w:rsidRPr="00B91B74">
        <w:rPr>
          <w:rFonts w:ascii="Times New Roman" w:hAnsi="Times New Roman" w:cs="Times New Roman"/>
          <w:sz w:val="24"/>
          <w:szCs w:val="24"/>
        </w:rPr>
        <w:t xml:space="preserve">Несоблюдение процедуры </w:t>
      </w:r>
      <w:r w:rsidR="00AD7E19" w:rsidRPr="00B91B74">
        <w:rPr>
          <w:rFonts w:ascii="Times New Roman" w:hAnsi="Times New Roman" w:cs="Times New Roman"/>
          <w:sz w:val="24"/>
          <w:szCs w:val="24"/>
        </w:rPr>
        <w:t xml:space="preserve">проведения анализа </w:t>
      </w:r>
      <w:r w:rsidR="00F63254" w:rsidRPr="00B91B74">
        <w:rPr>
          <w:rFonts w:ascii="Times New Roman" w:hAnsi="Times New Roman" w:cs="Times New Roman"/>
          <w:sz w:val="24"/>
          <w:szCs w:val="24"/>
        </w:rPr>
        <w:t xml:space="preserve">может отрицательно сказаться на </w:t>
      </w:r>
      <w:r w:rsidRPr="00B91B74">
        <w:rPr>
          <w:rFonts w:ascii="Times New Roman" w:hAnsi="Times New Roman" w:cs="Times New Roman"/>
          <w:sz w:val="24"/>
          <w:szCs w:val="24"/>
        </w:rPr>
        <w:t xml:space="preserve">работе набора реагентов </w:t>
      </w:r>
      <w:r w:rsidR="00F63254" w:rsidRPr="00B91B74">
        <w:rPr>
          <w:rFonts w:ascii="Times New Roman" w:hAnsi="Times New Roman" w:cs="Times New Roman"/>
          <w:sz w:val="24"/>
          <w:szCs w:val="24"/>
        </w:rPr>
        <w:t>и / или сделать результат теста недействительным.</w:t>
      </w:r>
    </w:p>
    <w:p w14:paraId="25A34DD8" w14:textId="77777777" w:rsidR="00F63254" w:rsidRPr="00B91B74" w:rsidRDefault="00F63254" w:rsidP="00A87307">
      <w:pPr>
        <w:jc w:val="both"/>
        <w:rPr>
          <w:bCs/>
        </w:rPr>
      </w:pPr>
    </w:p>
    <w:p w14:paraId="6AC3D459" w14:textId="0B5B5582" w:rsidR="007E640C" w:rsidRPr="00B91B74" w:rsidRDefault="007E640C" w:rsidP="00A87307">
      <w:pPr>
        <w:jc w:val="both"/>
        <w:rPr>
          <w:b/>
        </w:rPr>
      </w:pPr>
      <w:r w:rsidRPr="00B91B74">
        <w:rPr>
          <w:b/>
          <w:lang w:val="en-US"/>
        </w:rPr>
        <w:t>XII</w:t>
      </w:r>
      <w:r w:rsidRPr="00B91B74">
        <w:rPr>
          <w:b/>
        </w:rPr>
        <w:t>.</w:t>
      </w:r>
      <w:r w:rsidR="00290852" w:rsidRPr="00B91B74">
        <w:rPr>
          <w:b/>
          <w:sz w:val="22"/>
          <w:szCs w:val="22"/>
        </w:rPr>
        <w:tab/>
        <w:t>Материалы, необходимые для проведения анализа, но не входящие в комплект поставки</w:t>
      </w:r>
    </w:p>
    <w:p w14:paraId="472B1C0B" w14:textId="77777777" w:rsidR="00290852" w:rsidRPr="00B91B74" w:rsidRDefault="00290852" w:rsidP="00A87307">
      <w:pPr>
        <w:jc w:val="both"/>
        <w:rPr>
          <w:bCs/>
        </w:rPr>
      </w:pPr>
    </w:p>
    <w:p w14:paraId="52E42188" w14:textId="53129CE9" w:rsidR="00B0469C" w:rsidRPr="00B91B74" w:rsidRDefault="00290852" w:rsidP="00A87307">
      <w:pPr>
        <w:jc w:val="both"/>
        <w:rPr>
          <w:bCs/>
        </w:rPr>
      </w:pPr>
      <w:r w:rsidRPr="00B91B74">
        <w:sym w:font="Symbol" w:char="F0B7"/>
      </w:r>
      <w:r w:rsidRPr="00B91B74">
        <w:tab/>
      </w:r>
      <w:r w:rsidRPr="00B91B74">
        <w:rPr>
          <w:bCs/>
        </w:rPr>
        <w:t>Таймер.</w:t>
      </w:r>
    </w:p>
    <w:p w14:paraId="5B5FD73C" w14:textId="2E8FB243" w:rsidR="00290852" w:rsidRPr="00B91B74" w:rsidRDefault="00290852" w:rsidP="00A87307">
      <w:pPr>
        <w:jc w:val="both"/>
        <w:rPr>
          <w:bCs/>
        </w:rPr>
      </w:pPr>
      <w:r w:rsidRPr="00B91B74">
        <w:sym w:font="Symbol" w:char="F0B7"/>
      </w:r>
      <w:r w:rsidRPr="00B91B74">
        <w:tab/>
      </w:r>
      <w:r w:rsidRPr="00B91B74">
        <w:rPr>
          <w:bCs/>
        </w:rPr>
        <w:t>Средства индивидуальной защиты.</w:t>
      </w:r>
    </w:p>
    <w:p w14:paraId="260B61CD" w14:textId="1DB3AF05" w:rsidR="00B0469C" w:rsidRPr="00B91B74" w:rsidRDefault="00B0469C" w:rsidP="00A87307">
      <w:pPr>
        <w:jc w:val="both"/>
        <w:rPr>
          <w:bCs/>
        </w:rPr>
      </w:pPr>
    </w:p>
    <w:p w14:paraId="0B46B4A0" w14:textId="7CC6D2F7" w:rsidR="00B0469C" w:rsidRPr="00B91B74" w:rsidRDefault="00B0469C" w:rsidP="00A87307">
      <w:pPr>
        <w:jc w:val="both"/>
        <w:rPr>
          <w:b/>
        </w:rPr>
      </w:pPr>
      <w:r w:rsidRPr="00B91B74">
        <w:rPr>
          <w:b/>
          <w:lang w:val="en-US"/>
        </w:rPr>
        <w:t>XIII</w:t>
      </w:r>
      <w:r w:rsidRPr="00B91B74">
        <w:rPr>
          <w:b/>
        </w:rPr>
        <w:t>.</w:t>
      </w:r>
      <w:r w:rsidR="00D22BB8" w:rsidRPr="00B91B74">
        <w:rPr>
          <w:b/>
        </w:rPr>
        <w:tab/>
        <w:t>Анализируемый биологический материал</w:t>
      </w:r>
    </w:p>
    <w:p w14:paraId="3C6FCC84" w14:textId="2805AEE2" w:rsidR="00B0469C" w:rsidRPr="00B91B74" w:rsidRDefault="00B0469C" w:rsidP="00A87307">
      <w:pPr>
        <w:jc w:val="both"/>
        <w:rPr>
          <w:bCs/>
        </w:rPr>
      </w:pPr>
    </w:p>
    <w:p w14:paraId="4C4CE0CE" w14:textId="4A7D5BF5" w:rsidR="00D22BB8" w:rsidRPr="00B91B74" w:rsidRDefault="00D22BB8" w:rsidP="00AB6451">
      <w:pPr>
        <w:jc w:val="both"/>
        <w:rPr>
          <w:bCs/>
        </w:rPr>
      </w:pPr>
      <w:r w:rsidRPr="00B91B74">
        <w:sym w:font="Symbol" w:char="F0B7"/>
      </w:r>
      <w:r w:rsidRPr="00B91B74">
        <w:tab/>
      </w:r>
      <w:r w:rsidRPr="00B91B74">
        <w:rPr>
          <w:bCs/>
        </w:rPr>
        <w:t xml:space="preserve">Биологическим материалом для исследования является мазок из носа (передний назальный мазок) и слюна человека. Исследованию подлежит </w:t>
      </w:r>
      <w:proofErr w:type="spellStart"/>
      <w:r w:rsidRPr="00B91B74">
        <w:rPr>
          <w:bCs/>
        </w:rPr>
        <w:t>нативный</w:t>
      </w:r>
      <w:proofErr w:type="spellEnd"/>
      <w:r w:rsidRPr="00B91B74">
        <w:rPr>
          <w:bCs/>
        </w:rPr>
        <w:t xml:space="preserve"> материал</w:t>
      </w:r>
      <w:r w:rsidR="00AB6451">
        <w:t>.</w:t>
      </w:r>
    </w:p>
    <w:p w14:paraId="0E51561E" w14:textId="14065FFB" w:rsidR="00D22BB8" w:rsidRPr="00B91B74" w:rsidRDefault="00D22BB8" w:rsidP="00A87307">
      <w:pPr>
        <w:jc w:val="both"/>
        <w:rPr>
          <w:bCs/>
        </w:rPr>
      </w:pPr>
      <w:r w:rsidRPr="00B91B74">
        <w:sym w:font="Symbol" w:char="F0B7"/>
      </w:r>
      <w:r w:rsidRPr="00B91B74">
        <w:tab/>
      </w:r>
      <w:r w:rsidRPr="00B91B74">
        <w:rPr>
          <w:bCs/>
        </w:rPr>
        <w:t>Образцы, полученные для лабораторного исследования, следует считать потенциально инфицированными, и при работе с ними должны учитываться требования СП 1.3.3118-13 «Безопасность работы с микроорганизмами I-II групп патогенности (опасности)». Медицинские работники, которые собирают или транспортируют клинические образцы в лабораторию, должны быть обучены практике безопасного обращения с биоматериалом, строго соблюдать меры предосторожности и использовать средства индивидуальной защиты (СИЗ).</w:t>
      </w:r>
    </w:p>
    <w:p w14:paraId="745C2A14" w14:textId="711FC69E" w:rsidR="0083677A" w:rsidRPr="00B91B74" w:rsidRDefault="00D22BB8" w:rsidP="00A87307">
      <w:pPr>
        <w:jc w:val="both"/>
        <w:rPr>
          <w:bCs/>
        </w:rPr>
      </w:pPr>
      <w:r w:rsidRPr="00B91B74">
        <w:sym w:font="Symbol" w:char="F0B7"/>
      </w:r>
      <w:r w:rsidRPr="00B91B74">
        <w:tab/>
      </w:r>
      <w:r w:rsidRPr="00B91B74">
        <w:rPr>
          <w:bCs/>
        </w:rPr>
        <w:t xml:space="preserve">В Российской Федерации взятие, транспортирование и хранение исследуемого материала осуществляется согласно МУ 4.2.2039-05 «Техника сбора и транспортирования биоматериалов в микробиологические лаборатории», утвержденным </w:t>
      </w:r>
      <w:proofErr w:type="spellStart"/>
      <w:r w:rsidRPr="00B91B74">
        <w:rPr>
          <w:bCs/>
        </w:rPr>
        <w:t>Роспотребнадзором</w:t>
      </w:r>
      <w:proofErr w:type="spellEnd"/>
      <w:r w:rsidRPr="00B91B74">
        <w:rPr>
          <w:bCs/>
        </w:rPr>
        <w:t xml:space="preserve">. </w:t>
      </w:r>
      <w:r w:rsidR="0083677A" w:rsidRPr="00600DDB">
        <w:rPr>
          <w:bCs/>
        </w:rPr>
        <w:t xml:space="preserve">Обращение анализируемого материала следует осуществлять аналогично другим видам биологического материала, взятого для проведения прямой этиологической лабораторной диагностики COVID-19, в соответствии с Временными методическими рекомендациями Министерства здравоохранения РФ «Профилактика, диагностика и лечение новой </w:t>
      </w:r>
      <w:proofErr w:type="spellStart"/>
      <w:r w:rsidR="0083677A" w:rsidRPr="00600DDB">
        <w:rPr>
          <w:bCs/>
        </w:rPr>
        <w:t>коронавирусной</w:t>
      </w:r>
      <w:proofErr w:type="spellEnd"/>
      <w:r w:rsidR="0083677A" w:rsidRPr="00600DDB">
        <w:rPr>
          <w:bCs/>
        </w:rPr>
        <w:t xml:space="preserve"> инфекции COVID-19» в действующей версии. </w:t>
      </w:r>
      <w:r w:rsidR="0083677A" w:rsidRPr="00976F5F">
        <w:rPr>
          <w:bCs/>
        </w:rPr>
        <w:t>Транспортировка образцов осуществляется с соблюдением требований СП 1.2.036-95 «Порядок учета, хранения, передачи и транспортирования микроорганизмов I-IV групп патогенности». На сопровождающем формуляре необходимо указать наименование подозреваемой ОРИ, предварительно уведомив лабораторию о том, какой образец транспортируется.</w:t>
      </w:r>
    </w:p>
    <w:p w14:paraId="090E39A0" w14:textId="77777777" w:rsidR="0083677A" w:rsidRPr="00B91B74" w:rsidRDefault="0083677A" w:rsidP="00A87307">
      <w:pPr>
        <w:jc w:val="both"/>
        <w:rPr>
          <w:bCs/>
        </w:rPr>
      </w:pPr>
    </w:p>
    <w:p w14:paraId="42168F7D" w14:textId="68BB2509" w:rsidR="00B0469C" w:rsidRPr="00B91B74" w:rsidRDefault="00B0469C" w:rsidP="00A87307">
      <w:pPr>
        <w:jc w:val="both"/>
        <w:rPr>
          <w:b/>
        </w:rPr>
      </w:pPr>
      <w:r w:rsidRPr="00B91B74">
        <w:rPr>
          <w:b/>
          <w:lang w:val="en-US"/>
        </w:rPr>
        <w:t>XIV</w:t>
      </w:r>
      <w:r w:rsidRPr="00B91B74">
        <w:rPr>
          <w:b/>
        </w:rPr>
        <w:t>.</w:t>
      </w:r>
      <w:r w:rsidR="0083677A" w:rsidRPr="00B91B74">
        <w:rPr>
          <w:b/>
        </w:rPr>
        <w:tab/>
      </w:r>
      <w:r w:rsidR="00762E65" w:rsidRPr="00B91B74">
        <w:rPr>
          <w:b/>
        </w:rPr>
        <w:t>Процедура сбора образцов</w:t>
      </w:r>
    </w:p>
    <w:p w14:paraId="240E1E89" w14:textId="77777777" w:rsidR="00CF72BE" w:rsidRPr="00B91B74" w:rsidRDefault="00CF72BE" w:rsidP="00A87307">
      <w:pPr>
        <w:jc w:val="both"/>
        <w:rPr>
          <w:bCs/>
        </w:rPr>
      </w:pPr>
    </w:p>
    <w:p w14:paraId="23A35BD8" w14:textId="59B05207" w:rsidR="00F32D5D" w:rsidRPr="00B91B74" w:rsidRDefault="00F32D5D" w:rsidP="00A87307">
      <w:pPr>
        <w:ind w:left="-5" w:right="24"/>
        <w:jc w:val="both"/>
        <w:rPr>
          <w:i/>
          <w:iCs/>
        </w:rPr>
      </w:pPr>
      <w:r w:rsidRPr="00B91B74">
        <w:rPr>
          <w:b/>
          <w:i/>
          <w:iCs/>
        </w:rPr>
        <w:t>Мазок из носа</w:t>
      </w:r>
      <w:r w:rsidR="00762E65" w:rsidRPr="00B91B74">
        <w:rPr>
          <w:b/>
          <w:i/>
          <w:iCs/>
        </w:rPr>
        <w:t xml:space="preserve"> (назальный мазок</w:t>
      </w:r>
      <w:r w:rsidR="00764C7F">
        <w:rPr>
          <w:b/>
          <w:i/>
          <w:iCs/>
        </w:rPr>
        <w:t>, передний назальный мазок</w:t>
      </w:r>
      <w:r w:rsidR="00762E65" w:rsidRPr="00B91B74">
        <w:rPr>
          <w:b/>
          <w:i/>
          <w:iCs/>
        </w:rPr>
        <w:t>)</w:t>
      </w:r>
    </w:p>
    <w:p w14:paraId="0E80D19F" w14:textId="1BF21C19" w:rsidR="00F32D5D" w:rsidRPr="00B91B74" w:rsidRDefault="00F32D5D" w:rsidP="00A87307">
      <w:pPr>
        <w:ind w:right="43"/>
        <w:jc w:val="both"/>
      </w:pPr>
      <w:r w:rsidRPr="00B91B74">
        <w:t xml:space="preserve">Выньте </w:t>
      </w:r>
      <w:r w:rsidR="000E516F">
        <w:t>с</w:t>
      </w:r>
      <w:r w:rsidR="000E516F" w:rsidRPr="000E516F">
        <w:t xml:space="preserve">терильный зонд-тампон для взятия образцов </w:t>
      </w:r>
      <w:r w:rsidRPr="00B91B74">
        <w:t xml:space="preserve">из </w:t>
      </w:r>
      <w:r w:rsidR="00762E65" w:rsidRPr="00B91B74">
        <w:t>упаковки</w:t>
      </w:r>
      <w:r w:rsidRPr="00B91B74">
        <w:t>, стараясь не прикасаться к мягкому концу, который является абсорбирующим</w:t>
      </w:r>
      <w:r w:rsidR="00762E65" w:rsidRPr="00B91B74">
        <w:t xml:space="preserve"> (впитывающим)</w:t>
      </w:r>
      <w:r w:rsidRPr="00B91B74">
        <w:t xml:space="preserve">. Вставьте </w:t>
      </w:r>
      <w:r w:rsidR="00762E65" w:rsidRPr="00B91B74">
        <w:t xml:space="preserve">абсорбирующий </w:t>
      </w:r>
      <w:r w:rsidRPr="00B91B74">
        <w:t>кон</w:t>
      </w:r>
      <w:r w:rsidR="005D23CF" w:rsidRPr="00B91B74">
        <w:t>ец зонда-</w:t>
      </w:r>
      <w:r w:rsidRPr="00B91B74">
        <w:t xml:space="preserve">тампона в ноздрю. Медленно вращайте </w:t>
      </w:r>
      <w:r w:rsidR="005D23CF" w:rsidRPr="00B91B74">
        <w:t>зонд-</w:t>
      </w:r>
      <w:r w:rsidRPr="00B91B74">
        <w:t>тампон по круговой траектории внутри ноздри не менее 4 раз в течение 15 секунд. Обязательно соберите любо</w:t>
      </w:r>
      <w:r w:rsidR="00762E65" w:rsidRPr="00B91B74">
        <w:t>е отделяемое</w:t>
      </w:r>
      <w:r w:rsidRPr="00B91B74">
        <w:t>, котор</w:t>
      </w:r>
      <w:r w:rsidR="00762E65" w:rsidRPr="00B91B74">
        <w:t>ое</w:t>
      </w:r>
      <w:r w:rsidRPr="00B91B74">
        <w:t xml:space="preserve"> может присутствовать на тампоне.</w:t>
      </w:r>
      <w:r w:rsidR="00762E65" w:rsidRPr="00B91B74">
        <w:t xml:space="preserve"> </w:t>
      </w:r>
      <w:r w:rsidRPr="00B91B74">
        <w:t xml:space="preserve">Осторожно </w:t>
      </w:r>
      <w:r w:rsidR="00762E65" w:rsidRPr="00B91B74">
        <w:t xml:space="preserve">извлеките </w:t>
      </w:r>
      <w:r w:rsidR="005D23CF" w:rsidRPr="00B91B74">
        <w:t>зонд-</w:t>
      </w:r>
      <w:r w:rsidR="00762E65" w:rsidRPr="00B91B74">
        <w:t>тампон из ноздри</w:t>
      </w:r>
      <w:r w:rsidRPr="00B91B74">
        <w:t>.</w:t>
      </w:r>
    </w:p>
    <w:p w14:paraId="7EF67715" w14:textId="18886146" w:rsidR="00F32D5D" w:rsidRPr="00B91B74" w:rsidRDefault="00F32D5D" w:rsidP="00A87307">
      <w:pPr>
        <w:ind w:right="43"/>
        <w:jc w:val="both"/>
      </w:pPr>
      <w:r w:rsidRPr="00B91B74">
        <w:lastRenderedPageBreak/>
        <w:t xml:space="preserve">Используя тот же </w:t>
      </w:r>
      <w:r w:rsidR="005D23CF" w:rsidRPr="00B91B74">
        <w:t>зонд-</w:t>
      </w:r>
      <w:r w:rsidRPr="00B91B74">
        <w:t xml:space="preserve">тампон, повторите </w:t>
      </w:r>
      <w:r w:rsidR="000E516F">
        <w:t>вышеописанную процедуру</w:t>
      </w:r>
      <w:r w:rsidRPr="00B91B74">
        <w:t xml:space="preserve"> в другой ноздре.</w:t>
      </w:r>
    </w:p>
    <w:p w14:paraId="504354EB" w14:textId="5AB0DD69" w:rsidR="00F32D5D" w:rsidRDefault="00F32D5D" w:rsidP="00A87307">
      <w:pPr>
        <w:ind w:left="14" w:right="76"/>
        <w:jc w:val="center"/>
      </w:pPr>
      <w:r w:rsidRPr="00B91B74">
        <w:rPr>
          <w:noProof/>
        </w:rPr>
        <w:drawing>
          <wp:inline distT="0" distB="0" distL="0" distR="0" wp14:anchorId="50E61517" wp14:editId="25C3E93A">
            <wp:extent cx="1673157" cy="1361873"/>
            <wp:effectExtent l="0" t="0" r="3810" b="0"/>
            <wp:docPr id="29" name="Picture 1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" name="Picture 177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4599" cy="137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F3D0" w14:textId="77777777" w:rsidR="00AB20C5" w:rsidRPr="00B91B74" w:rsidRDefault="00AB20C5" w:rsidP="00A87307">
      <w:pPr>
        <w:ind w:left="14" w:right="76"/>
        <w:jc w:val="center"/>
      </w:pPr>
    </w:p>
    <w:p w14:paraId="421D919D" w14:textId="250E6D95" w:rsidR="00F32D5D" w:rsidRPr="00B91B74" w:rsidRDefault="00F32D5D" w:rsidP="00A87307">
      <w:pPr>
        <w:ind w:right="24"/>
        <w:jc w:val="both"/>
        <w:rPr>
          <w:b/>
          <w:i/>
          <w:iCs/>
        </w:rPr>
      </w:pPr>
      <w:r w:rsidRPr="00B91B74">
        <w:rPr>
          <w:b/>
          <w:i/>
          <w:iCs/>
        </w:rPr>
        <w:t>Образец слюны</w:t>
      </w:r>
    </w:p>
    <w:p w14:paraId="151B7813" w14:textId="599273D8" w:rsidR="00F32D5D" w:rsidRPr="00B91B74" w:rsidRDefault="00F32D5D" w:rsidP="00A87307">
      <w:pPr>
        <w:ind w:right="43"/>
        <w:jc w:val="both"/>
      </w:pPr>
      <w:r w:rsidRPr="00B91B74">
        <w:t xml:space="preserve">Выньте </w:t>
      </w:r>
      <w:r w:rsidR="00AB20C5">
        <w:t>с</w:t>
      </w:r>
      <w:r w:rsidR="00AB20C5" w:rsidRPr="000E516F">
        <w:t xml:space="preserve">терильный зонд-тампон для взятия образцов </w:t>
      </w:r>
      <w:r w:rsidRPr="00B91B74">
        <w:t xml:space="preserve">из </w:t>
      </w:r>
      <w:r w:rsidR="005D23CF" w:rsidRPr="00B91B74">
        <w:t>упаковки</w:t>
      </w:r>
      <w:r w:rsidRPr="00B91B74">
        <w:t>, стараясь не прикасаться к мягкому концу, который является абсорбирующим</w:t>
      </w:r>
      <w:r w:rsidR="005D23CF" w:rsidRPr="00B91B74">
        <w:t xml:space="preserve"> (впитывающим)</w:t>
      </w:r>
      <w:r w:rsidRPr="00B91B74">
        <w:t xml:space="preserve">. </w:t>
      </w:r>
      <w:r w:rsidR="005D23CF" w:rsidRPr="00B91B74">
        <w:t xml:space="preserve">Абсорбирующим </w:t>
      </w:r>
      <w:r w:rsidRPr="00B91B74">
        <w:t>кон</w:t>
      </w:r>
      <w:r w:rsidR="005D23CF" w:rsidRPr="00B91B74">
        <w:t>цом зонда-</w:t>
      </w:r>
      <w:r w:rsidRPr="00B91B74">
        <w:t>тампона</w:t>
      </w:r>
      <w:r w:rsidR="005D23CF" w:rsidRPr="00B91B74">
        <w:t xml:space="preserve"> </w:t>
      </w:r>
      <w:r w:rsidRPr="00B91B74">
        <w:t xml:space="preserve">медленно протрите </w:t>
      </w:r>
      <w:r w:rsidR="004F049F" w:rsidRPr="00B91B74">
        <w:t>небную занавеску и небно-язычн</w:t>
      </w:r>
      <w:r w:rsidR="00B61B8B">
        <w:t>ые</w:t>
      </w:r>
      <w:r w:rsidR="004F049F" w:rsidRPr="00B91B74">
        <w:t xml:space="preserve"> дужк</w:t>
      </w:r>
      <w:r w:rsidR="00B61B8B">
        <w:t>и</w:t>
      </w:r>
      <w:r w:rsidR="004F049F" w:rsidRPr="00B91B74">
        <w:t xml:space="preserve"> слева и справа </w:t>
      </w:r>
      <w:r w:rsidRPr="00B91B74">
        <w:t xml:space="preserve">не менее 4 раз в течение 15 секунд. Обязательно соберите слюну, которая </w:t>
      </w:r>
      <w:r w:rsidR="005D23CF" w:rsidRPr="00B91B74">
        <w:t xml:space="preserve">может </w:t>
      </w:r>
      <w:r w:rsidRPr="00B91B74">
        <w:t xml:space="preserve">присутствовать на </w:t>
      </w:r>
      <w:r w:rsidR="005D23CF" w:rsidRPr="00B91B74">
        <w:t>зонде-</w:t>
      </w:r>
      <w:r w:rsidRPr="00B91B74">
        <w:t>тампоне.</w:t>
      </w:r>
      <w:r w:rsidR="005D23CF" w:rsidRPr="00B91B74">
        <w:t xml:space="preserve"> </w:t>
      </w:r>
      <w:r w:rsidRPr="00B91B74">
        <w:t xml:space="preserve">Осторожно удалите </w:t>
      </w:r>
      <w:r w:rsidR="005D23CF" w:rsidRPr="00B91B74">
        <w:t>зонд-</w:t>
      </w:r>
      <w:r w:rsidRPr="00B91B74">
        <w:t>тампон</w:t>
      </w:r>
      <w:r w:rsidR="005D23CF" w:rsidRPr="00B91B74">
        <w:t xml:space="preserve"> из полости рта</w:t>
      </w:r>
      <w:r w:rsidRPr="00B91B74">
        <w:t>.</w:t>
      </w:r>
    </w:p>
    <w:p w14:paraId="66D49166" w14:textId="13E699BC" w:rsidR="004F049F" w:rsidRPr="00B91B74" w:rsidRDefault="004F049F" w:rsidP="00A87307">
      <w:pPr>
        <w:ind w:right="43"/>
        <w:jc w:val="center"/>
      </w:pPr>
      <w:r w:rsidRPr="00B91B74">
        <w:rPr>
          <w:noProof/>
        </w:rPr>
        <w:drawing>
          <wp:inline distT="0" distB="0" distL="0" distR="0" wp14:anchorId="10A480D7" wp14:editId="4568ED6E">
            <wp:extent cx="1828800" cy="10852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"/>
                              </a14:imgEffect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C731B" w14:textId="6465BF62" w:rsidR="00F32D5D" w:rsidRDefault="00F32D5D" w:rsidP="00A87307">
      <w:pPr>
        <w:ind w:left="3" w:right="76"/>
      </w:pPr>
    </w:p>
    <w:p w14:paraId="022624E4" w14:textId="54BDC5A5" w:rsidR="00821132" w:rsidRPr="00B91B74" w:rsidRDefault="00F32D5D" w:rsidP="00C66B1E">
      <w:pPr>
        <w:ind w:left="16" w:right="43" w:hanging="11"/>
        <w:jc w:val="both"/>
      </w:pPr>
      <w:r w:rsidRPr="00BA6E64">
        <w:rPr>
          <w:b/>
          <w:i/>
          <w:iCs/>
        </w:rPr>
        <w:t>Хранение и транспортировка образцов</w:t>
      </w:r>
      <w:r w:rsidR="00684BFA" w:rsidRPr="00BA6E64">
        <w:rPr>
          <w:bCs/>
          <w:i/>
          <w:iCs/>
        </w:rPr>
        <w:t>.</w:t>
      </w:r>
      <w:r w:rsidRPr="00BA6E64">
        <w:rPr>
          <w:bCs/>
        </w:rPr>
        <w:t xml:space="preserve"> </w:t>
      </w:r>
      <w:proofErr w:type="spellStart"/>
      <w:r w:rsidR="00A14C5B">
        <w:rPr>
          <w:bCs/>
        </w:rPr>
        <w:t>Н</w:t>
      </w:r>
      <w:r w:rsidR="00D1411E" w:rsidRPr="00BA6E64">
        <w:rPr>
          <w:bCs/>
        </w:rPr>
        <w:t>ативные</w:t>
      </w:r>
      <w:proofErr w:type="spellEnd"/>
      <w:r w:rsidR="00D1411E" w:rsidRPr="00BA6E64">
        <w:rPr>
          <w:bCs/>
        </w:rPr>
        <w:t xml:space="preserve"> образцы</w:t>
      </w:r>
      <w:r w:rsidR="00A14C5B">
        <w:rPr>
          <w:bCs/>
        </w:rPr>
        <w:t xml:space="preserve"> </w:t>
      </w:r>
      <w:r w:rsidR="00684BFA" w:rsidRPr="00BA6E64">
        <w:rPr>
          <w:bCs/>
        </w:rPr>
        <w:t xml:space="preserve">следует </w:t>
      </w:r>
      <w:r w:rsidR="00C66B1E">
        <w:t>тестировать</w:t>
      </w:r>
      <w:r w:rsidR="00C66B1E" w:rsidRPr="00C66B1E">
        <w:t xml:space="preserve"> немедленно после взятия.</w:t>
      </w:r>
    </w:p>
    <w:p w14:paraId="1DD6D2D3" w14:textId="77777777" w:rsidR="00C66B1E" w:rsidRPr="00F85DD2" w:rsidRDefault="00C66B1E" w:rsidP="00A87307">
      <w:pPr>
        <w:ind w:left="16" w:right="43"/>
        <w:jc w:val="both"/>
      </w:pPr>
    </w:p>
    <w:p w14:paraId="08CEA562" w14:textId="13CC4098" w:rsidR="00684BFA" w:rsidRPr="00B91B74" w:rsidRDefault="00CD5C27" w:rsidP="00A87307">
      <w:pPr>
        <w:ind w:left="16" w:right="43"/>
        <w:jc w:val="both"/>
        <w:rPr>
          <w:b/>
          <w:bCs/>
        </w:rPr>
      </w:pPr>
      <w:r w:rsidRPr="00B91B74">
        <w:rPr>
          <w:b/>
          <w:bCs/>
          <w:lang w:val="en-US"/>
        </w:rPr>
        <w:t>XV</w:t>
      </w:r>
      <w:r w:rsidRPr="00B91B74">
        <w:rPr>
          <w:b/>
          <w:bCs/>
        </w:rPr>
        <w:t>.</w:t>
      </w:r>
      <w:r w:rsidRPr="00B91B74">
        <w:rPr>
          <w:b/>
          <w:bCs/>
        </w:rPr>
        <w:tab/>
        <w:t>Процедура анализа</w:t>
      </w:r>
    </w:p>
    <w:p w14:paraId="174CF164" w14:textId="01BF9246" w:rsidR="00684BFA" w:rsidRDefault="00684BFA" w:rsidP="00A87307">
      <w:pPr>
        <w:ind w:left="16" w:right="43"/>
        <w:jc w:val="both"/>
      </w:pPr>
    </w:p>
    <w:p w14:paraId="7764480F" w14:textId="1C5E7BE8" w:rsidR="003A4FA5" w:rsidRPr="00B91B74" w:rsidRDefault="003A4FA5" w:rsidP="00A87307">
      <w:pPr>
        <w:ind w:left="16" w:right="43"/>
        <w:jc w:val="both"/>
        <w:rPr>
          <w:b/>
          <w:bCs/>
          <w:i/>
          <w:iCs/>
        </w:rPr>
      </w:pPr>
      <w:r w:rsidRPr="00B91B74">
        <w:rPr>
          <w:b/>
          <w:bCs/>
          <w:i/>
          <w:iCs/>
        </w:rPr>
        <w:t>Шаг 1</w:t>
      </w:r>
    </w:p>
    <w:p w14:paraId="39EC7D6A" w14:textId="60D672CF" w:rsidR="003A4FA5" w:rsidRPr="00B91B74" w:rsidRDefault="003A4FA5" w:rsidP="00A87307">
      <w:pPr>
        <w:ind w:left="16" w:right="43"/>
        <w:jc w:val="both"/>
      </w:pPr>
      <w:r w:rsidRPr="00B91B74">
        <w:t xml:space="preserve">Отвинтите крышку </w:t>
      </w:r>
      <w:r w:rsidR="00DC65EC" w:rsidRPr="00B91B74">
        <w:t>пробирки с буферным раствором для экстракции</w:t>
      </w:r>
      <w:r w:rsidRPr="00B91B74">
        <w:t xml:space="preserve">. Поместите </w:t>
      </w:r>
      <w:r w:rsidR="00DC65EC" w:rsidRPr="00B91B74">
        <w:t>зонд-</w:t>
      </w:r>
      <w:r w:rsidRPr="00B91B74">
        <w:t xml:space="preserve">тампон </w:t>
      </w:r>
      <w:r w:rsidR="003F7362" w:rsidRPr="00B91B74">
        <w:t>в пробирку</w:t>
      </w:r>
      <w:r w:rsidRPr="00B91B74">
        <w:t xml:space="preserve">, </w:t>
      </w:r>
      <w:r w:rsidR="003F7362" w:rsidRPr="00B91B74">
        <w:t xml:space="preserve">затем </w:t>
      </w:r>
      <w:r w:rsidRPr="00B91B74">
        <w:t xml:space="preserve">энергично поверните тампон, чтобы </w:t>
      </w:r>
      <w:r w:rsidR="00C84EAA">
        <w:t>взятый биологический материал</w:t>
      </w:r>
      <w:r w:rsidRPr="00B91B74">
        <w:t xml:space="preserve"> хорошо перемешался с буфер</w:t>
      </w:r>
      <w:r w:rsidR="00C84EAA">
        <w:t>ны</w:t>
      </w:r>
      <w:r w:rsidRPr="00B91B74">
        <w:t>м</w:t>
      </w:r>
      <w:r w:rsidR="00C84EAA">
        <w:t xml:space="preserve"> раствором</w:t>
      </w:r>
      <w:r w:rsidRPr="00B91B74">
        <w:t xml:space="preserve">, прижмите тампон к внутренней части </w:t>
      </w:r>
      <w:r w:rsidR="00C84EAA">
        <w:t>пробирки</w:t>
      </w:r>
      <w:r w:rsidRPr="00B91B74">
        <w:t xml:space="preserve">, чтобы выпустить </w:t>
      </w:r>
      <w:r w:rsidR="00C84EAA" w:rsidRPr="00B91B74">
        <w:t xml:space="preserve">из тампона </w:t>
      </w:r>
      <w:r w:rsidRPr="00B91B74">
        <w:t>жидкость</w:t>
      </w:r>
      <w:r w:rsidR="007124F9" w:rsidRPr="00B91B74">
        <w:t>.</w:t>
      </w:r>
    </w:p>
    <w:p w14:paraId="1894B6CA" w14:textId="14DC49ED" w:rsidR="003A4FA5" w:rsidRPr="00840AFB" w:rsidRDefault="003A4FA5" w:rsidP="006C6D6E">
      <w:pPr>
        <w:ind w:left="16" w:right="43"/>
        <w:jc w:val="center"/>
      </w:pPr>
      <w:r w:rsidRPr="00840AFB">
        <w:rPr>
          <w:noProof/>
        </w:rPr>
        <w:drawing>
          <wp:inline distT="0" distB="0" distL="0" distR="0" wp14:anchorId="620CBA2D" wp14:editId="4762529B">
            <wp:extent cx="3060000" cy="1980000"/>
            <wp:effectExtent l="0" t="0" r="7620" b="1270"/>
            <wp:docPr id="2257" name="Picture 2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" name="Picture 22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886D" w14:textId="57D19B42" w:rsidR="003A4FA5" w:rsidRPr="00840AFB" w:rsidRDefault="003A4FA5" w:rsidP="00A87307">
      <w:pPr>
        <w:ind w:left="16" w:right="43"/>
        <w:jc w:val="both"/>
      </w:pPr>
    </w:p>
    <w:p w14:paraId="2953CF9B" w14:textId="6FC42B96" w:rsidR="00F32D5D" w:rsidRPr="00BF6713" w:rsidRDefault="00F32D5D" w:rsidP="00A87307">
      <w:pPr>
        <w:jc w:val="both"/>
        <w:rPr>
          <w:i/>
          <w:iCs/>
        </w:rPr>
      </w:pPr>
      <w:r w:rsidRPr="00BF6713">
        <w:rPr>
          <w:b/>
          <w:i/>
          <w:iCs/>
        </w:rPr>
        <w:t>Шаг 2</w:t>
      </w:r>
    </w:p>
    <w:p w14:paraId="0F502FC6" w14:textId="4961B907" w:rsidR="00F32D5D" w:rsidRPr="00BF6713" w:rsidRDefault="003F20C5" w:rsidP="00A87307">
      <w:pPr>
        <w:ind w:right="2"/>
        <w:jc w:val="both"/>
      </w:pPr>
      <w:r w:rsidRPr="003F20C5">
        <w:t>Отломите конец тампона и оставьте головку тампона в</w:t>
      </w:r>
      <w:r>
        <w:t xml:space="preserve"> пробирке</w:t>
      </w:r>
      <w:r w:rsidRPr="003F20C5">
        <w:t>.</w:t>
      </w:r>
      <w:r>
        <w:t xml:space="preserve"> </w:t>
      </w:r>
      <w:r w:rsidR="00BF6713" w:rsidRPr="00BF6713">
        <w:t xml:space="preserve">Плотно </w:t>
      </w:r>
      <w:r w:rsidR="006C6D6E">
        <w:t>завинтите</w:t>
      </w:r>
      <w:r w:rsidR="00BF6713" w:rsidRPr="00BF6713">
        <w:t xml:space="preserve"> крышку пробирки с буферным раствором для экстракции</w:t>
      </w:r>
      <w:r w:rsidR="00BF6713" w:rsidRPr="002D0992">
        <w:t xml:space="preserve">. </w:t>
      </w:r>
      <w:r w:rsidR="002039E4" w:rsidRPr="002D0992">
        <w:t xml:space="preserve">Оберните кончик крышки сухой салфеткой и отломите верхнюю часть крышки </w:t>
      </w:r>
      <w:r w:rsidR="006C6D6E" w:rsidRPr="002D0992">
        <w:t>пробирки с бу</w:t>
      </w:r>
      <w:r w:rsidR="006C6D6E" w:rsidRPr="006C6D6E">
        <w:t>ферным раствором для экстракции</w:t>
      </w:r>
      <w:r w:rsidR="002039E4" w:rsidRPr="00BF6713">
        <w:t>.</w:t>
      </w:r>
    </w:p>
    <w:p w14:paraId="40586467" w14:textId="6F0D1F0A" w:rsidR="00F32D5D" w:rsidRPr="00BF6713" w:rsidRDefault="00F32D5D" w:rsidP="00A87307">
      <w:pPr>
        <w:ind w:left="14"/>
        <w:jc w:val="both"/>
        <w:rPr>
          <w:b/>
        </w:rPr>
      </w:pPr>
    </w:p>
    <w:p w14:paraId="656CA3BD" w14:textId="309BBF16" w:rsidR="00C84EAA" w:rsidRPr="00BF6713" w:rsidRDefault="00346943" w:rsidP="006C6D6E">
      <w:pPr>
        <w:ind w:left="14"/>
        <w:jc w:val="center"/>
        <w:rPr>
          <w:b/>
        </w:rPr>
      </w:pPr>
      <w:r w:rsidRPr="00BF6713">
        <w:rPr>
          <w:noProof/>
        </w:rPr>
        <w:lastRenderedPageBreak/>
        <w:drawing>
          <wp:inline distT="0" distB="0" distL="0" distR="0" wp14:anchorId="61FE6AC9" wp14:editId="061B9575">
            <wp:extent cx="2880000" cy="2138400"/>
            <wp:effectExtent l="0" t="0" r="0" b="0"/>
            <wp:docPr id="13" name="Picture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5747" w14:textId="77777777" w:rsidR="00C84EAA" w:rsidRPr="00BF6713" w:rsidRDefault="00C84EAA" w:rsidP="00A87307">
      <w:pPr>
        <w:ind w:left="14"/>
        <w:jc w:val="both"/>
        <w:rPr>
          <w:b/>
        </w:rPr>
      </w:pPr>
    </w:p>
    <w:p w14:paraId="0DEC69D4" w14:textId="3A8AA67E" w:rsidR="00F32D5D" w:rsidRPr="00BF6713" w:rsidRDefault="00F32D5D" w:rsidP="00A87307">
      <w:pPr>
        <w:ind w:left="14"/>
        <w:jc w:val="both"/>
        <w:rPr>
          <w:i/>
          <w:iCs/>
        </w:rPr>
      </w:pPr>
      <w:r w:rsidRPr="00BF6713">
        <w:rPr>
          <w:b/>
          <w:i/>
          <w:iCs/>
        </w:rPr>
        <w:t>Шаг 3</w:t>
      </w:r>
    </w:p>
    <w:p w14:paraId="41A49014" w14:textId="7BE152C6" w:rsidR="00F32D5D" w:rsidRDefault="00F32D5D" w:rsidP="00A87307">
      <w:pPr>
        <w:ind w:right="2"/>
        <w:jc w:val="both"/>
      </w:pPr>
      <w:r w:rsidRPr="00BF6713">
        <w:t xml:space="preserve">Выньте тест-кассету из </w:t>
      </w:r>
      <w:r w:rsidR="008862EE" w:rsidRPr="00BF6713">
        <w:t xml:space="preserve">фольгированного </w:t>
      </w:r>
      <w:r w:rsidRPr="00BF6713">
        <w:t xml:space="preserve">пакета и положите на ровную поверхность. Сожмите </w:t>
      </w:r>
      <w:r w:rsidR="004F553A">
        <w:t xml:space="preserve">пробирку и </w:t>
      </w:r>
      <w:r w:rsidRPr="00BF6713">
        <w:t>добав</w:t>
      </w:r>
      <w:r w:rsidR="004F553A">
        <w:t>ьте</w:t>
      </w:r>
      <w:r w:rsidR="003F7362" w:rsidRPr="00BF6713">
        <w:t xml:space="preserve"> 3</w:t>
      </w:r>
      <w:r w:rsidRPr="00BF6713">
        <w:t xml:space="preserve"> </w:t>
      </w:r>
      <w:r w:rsidR="003F7362" w:rsidRPr="00BF6713">
        <w:t>(</w:t>
      </w:r>
      <w:r w:rsidRPr="00BF6713">
        <w:t>три</w:t>
      </w:r>
      <w:r w:rsidR="003F7362" w:rsidRPr="00BF6713">
        <w:t>)</w:t>
      </w:r>
      <w:r w:rsidRPr="00BF6713">
        <w:t xml:space="preserve"> капли </w:t>
      </w:r>
      <w:r w:rsidR="004F553A" w:rsidRPr="00BF6713">
        <w:t xml:space="preserve">экстрагированного </w:t>
      </w:r>
      <w:r w:rsidRPr="00BF6713">
        <w:t xml:space="preserve">образца в </w:t>
      </w:r>
      <w:r w:rsidR="004F553A">
        <w:t xml:space="preserve">соответствующую </w:t>
      </w:r>
      <w:r w:rsidRPr="00BF6713">
        <w:t xml:space="preserve">лунку тест-кассеты. Считайте результат теста через 15 минут после </w:t>
      </w:r>
      <w:r w:rsidR="00D87512">
        <w:t>внесения</w:t>
      </w:r>
      <w:r w:rsidRPr="00BF6713">
        <w:t xml:space="preserve"> образца, но не более чем через 30 минут.</w:t>
      </w:r>
    </w:p>
    <w:p w14:paraId="0E315EFC" w14:textId="77777777" w:rsidR="00655737" w:rsidRPr="00BF6713" w:rsidRDefault="00655737" w:rsidP="00A87307">
      <w:pPr>
        <w:ind w:right="2"/>
        <w:jc w:val="both"/>
      </w:pPr>
    </w:p>
    <w:p w14:paraId="3ABEEA1B" w14:textId="54BD9AA0" w:rsidR="00925F35" w:rsidRPr="00BF6713" w:rsidRDefault="00655737" w:rsidP="006C6D6E">
      <w:pPr>
        <w:ind w:left="14"/>
        <w:jc w:val="center"/>
        <w:rPr>
          <w:b/>
        </w:rPr>
      </w:pPr>
      <w:r w:rsidRPr="00BF6713">
        <w:rPr>
          <w:noProof/>
        </w:rPr>
        <w:drawing>
          <wp:inline distT="0" distB="0" distL="0" distR="0" wp14:anchorId="08E1C897" wp14:editId="5801BA16">
            <wp:extent cx="3441700" cy="1850376"/>
            <wp:effectExtent l="0" t="0" r="6350" b="0"/>
            <wp:docPr id="14" name="Picture 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9587" cy="185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5FB8A" w14:textId="77777777" w:rsidR="00925F35" w:rsidRPr="00BF6713" w:rsidRDefault="00925F35" w:rsidP="00A87307">
      <w:pPr>
        <w:ind w:left="14"/>
        <w:jc w:val="both"/>
        <w:rPr>
          <w:b/>
        </w:rPr>
      </w:pPr>
    </w:p>
    <w:p w14:paraId="44203060" w14:textId="14FA725C" w:rsidR="00F32D5D" w:rsidRPr="004F553A" w:rsidRDefault="00F32D5D" w:rsidP="00A87307">
      <w:pPr>
        <w:ind w:left="14"/>
        <w:jc w:val="both"/>
        <w:rPr>
          <w:i/>
          <w:iCs/>
        </w:rPr>
      </w:pPr>
      <w:r w:rsidRPr="004F553A">
        <w:rPr>
          <w:b/>
          <w:i/>
          <w:iCs/>
        </w:rPr>
        <w:t>Шаг 4</w:t>
      </w:r>
    </w:p>
    <w:p w14:paraId="21ECAAC5" w14:textId="577B219E" w:rsidR="00F32D5D" w:rsidRDefault="00F32D5D" w:rsidP="00A87307">
      <w:pPr>
        <w:jc w:val="both"/>
      </w:pPr>
      <w:r w:rsidRPr="00BF6713">
        <w:t>Поместите все компоненты в прилагаемый пластиковый герметичный пакет, закройте его и утилизируйте</w:t>
      </w:r>
      <w:r w:rsidR="00CD33FA">
        <w:t>.</w:t>
      </w:r>
    </w:p>
    <w:p w14:paraId="355C4A9B" w14:textId="7BB3FF46" w:rsidR="00BF6713" w:rsidRDefault="00BF6713" w:rsidP="00A87307">
      <w:pPr>
        <w:jc w:val="both"/>
      </w:pPr>
    </w:p>
    <w:p w14:paraId="43550821" w14:textId="2EB73336" w:rsidR="00BF6713" w:rsidRDefault="00D87512" w:rsidP="00A87307">
      <w:pPr>
        <w:jc w:val="both"/>
      </w:pPr>
      <w:r w:rsidRPr="00B91B74">
        <w:rPr>
          <w:b/>
          <w:bCs/>
          <w:lang w:val="en-US"/>
        </w:rPr>
        <w:t>XV</w:t>
      </w:r>
      <w:r>
        <w:rPr>
          <w:b/>
          <w:bCs/>
          <w:lang w:val="en-US"/>
        </w:rPr>
        <w:t>I</w:t>
      </w:r>
      <w:r w:rsidRPr="00B91B74">
        <w:rPr>
          <w:b/>
          <w:bCs/>
        </w:rPr>
        <w:t>.</w:t>
      </w:r>
      <w:r w:rsidRPr="00B91B74">
        <w:rPr>
          <w:b/>
          <w:bCs/>
        </w:rPr>
        <w:tab/>
      </w:r>
      <w:r>
        <w:rPr>
          <w:b/>
          <w:bCs/>
        </w:rPr>
        <w:t>Интерпретация результатов</w:t>
      </w:r>
    </w:p>
    <w:p w14:paraId="33AF83D3" w14:textId="6F60FC75" w:rsidR="00BF6713" w:rsidRDefault="00BF6713" w:rsidP="00A87307">
      <w:pPr>
        <w:jc w:val="both"/>
      </w:pPr>
    </w:p>
    <w:p w14:paraId="7FD06DE6" w14:textId="41FAAB25" w:rsidR="00F32D5D" w:rsidRPr="00B91B74" w:rsidRDefault="00F32D5D" w:rsidP="00A87307">
      <w:pPr>
        <w:ind w:right="43"/>
        <w:jc w:val="both"/>
      </w:pPr>
      <w:r w:rsidRPr="00B91B74">
        <w:rPr>
          <w:b/>
        </w:rPr>
        <w:t>Контроль качества</w:t>
      </w:r>
      <w:r w:rsidR="00094F76">
        <w:rPr>
          <w:b/>
        </w:rPr>
        <w:t xml:space="preserve"> постановки</w:t>
      </w:r>
      <w:r w:rsidRPr="00B91B74">
        <w:rPr>
          <w:b/>
        </w:rPr>
        <w:t>:</w:t>
      </w:r>
      <w:r w:rsidRPr="00B91B74">
        <w:t xml:space="preserve"> </w:t>
      </w:r>
      <w:proofErr w:type="gramStart"/>
      <w:r w:rsidR="00094F76">
        <w:t>В</w:t>
      </w:r>
      <w:proofErr w:type="gramEnd"/>
      <w:r w:rsidR="00094F76">
        <w:t xml:space="preserve"> </w:t>
      </w:r>
      <w:r w:rsidRPr="00B91B74">
        <w:t>контрольной зон</w:t>
      </w:r>
      <w:r w:rsidR="00094F76">
        <w:t>е</w:t>
      </w:r>
      <w:r w:rsidRPr="00B91B74">
        <w:t xml:space="preserve"> (C) должна появиться одна красная линия, указывающая на достоверность теста.</w:t>
      </w:r>
    </w:p>
    <w:p w14:paraId="7A1511A7" w14:textId="61BFB8D2" w:rsidR="00F32D5D" w:rsidRPr="00B91B74" w:rsidRDefault="00094F76" w:rsidP="00A87307">
      <w:pPr>
        <w:ind w:right="43"/>
        <w:jc w:val="both"/>
      </w:pPr>
      <w:r>
        <w:rPr>
          <w:b/>
        </w:rPr>
        <w:t>Недействительный результат</w:t>
      </w:r>
      <w:r w:rsidR="00F32D5D" w:rsidRPr="00B91B74">
        <w:rPr>
          <w:b/>
        </w:rPr>
        <w:t>:</w:t>
      </w:r>
      <w:r w:rsidR="00F32D5D" w:rsidRPr="00505F21">
        <w:rPr>
          <w:bCs/>
        </w:rPr>
        <w:t xml:space="preserve"> </w:t>
      </w:r>
      <w:r w:rsidR="00F32D5D" w:rsidRPr="00B91B74">
        <w:t xml:space="preserve">Если </w:t>
      </w:r>
      <w:r>
        <w:t>в</w:t>
      </w:r>
      <w:r w:rsidR="00F32D5D" w:rsidRPr="00B91B74">
        <w:t xml:space="preserve"> контрольной зон</w:t>
      </w:r>
      <w:r>
        <w:t>е</w:t>
      </w:r>
      <w:r w:rsidR="00F32D5D" w:rsidRPr="00B91B74">
        <w:t xml:space="preserve"> (C) не появляется красная линия, тест недействителен </w:t>
      </w:r>
      <w:r>
        <w:t>–</w:t>
      </w:r>
      <w:r w:rsidR="00F32D5D" w:rsidRPr="00B91B74">
        <w:t xml:space="preserve"> </w:t>
      </w:r>
      <w:r>
        <w:t>повторите анализ</w:t>
      </w:r>
      <w:r w:rsidR="00F32D5D" w:rsidRPr="00B91B74">
        <w:t xml:space="preserve"> с </w:t>
      </w:r>
      <w:r>
        <w:t>в</w:t>
      </w:r>
      <w:r w:rsidR="00F32D5D" w:rsidRPr="00B91B74">
        <w:t>нов</w:t>
      </w:r>
      <w:r>
        <w:t>ь собранным</w:t>
      </w:r>
      <w:r w:rsidR="00F32D5D" w:rsidRPr="00B91B74">
        <w:t xml:space="preserve"> образцом и новой </w:t>
      </w:r>
      <w:r>
        <w:t>тест-</w:t>
      </w:r>
      <w:r w:rsidR="00F32D5D" w:rsidRPr="00B91B74">
        <w:t>кассетой.</w:t>
      </w:r>
    </w:p>
    <w:p w14:paraId="155332AD" w14:textId="68E4AFFF" w:rsidR="00F32D5D" w:rsidRPr="00B91B74" w:rsidRDefault="00F32D5D" w:rsidP="00A87307">
      <w:pPr>
        <w:ind w:right="43"/>
        <w:jc w:val="both"/>
      </w:pPr>
      <w:r w:rsidRPr="00B91B74">
        <w:rPr>
          <w:b/>
        </w:rPr>
        <w:t>Положительны</w:t>
      </w:r>
      <w:r w:rsidR="00094F76">
        <w:rPr>
          <w:b/>
        </w:rPr>
        <w:t>й</w:t>
      </w:r>
      <w:r w:rsidRPr="00B91B74">
        <w:rPr>
          <w:b/>
        </w:rPr>
        <w:t xml:space="preserve"> результат:</w:t>
      </w:r>
      <w:r w:rsidRPr="00B91B74">
        <w:t xml:space="preserve"> </w:t>
      </w:r>
      <w:r w:rsidR="006C6988">
        <w:t>Появляется о</w:t>
      </w:r>
      <w:r w:rsidRPr="00B91B74">
        <w:t xml:space="preserve">дна красная линия </w:t>
      </w:r>
      <w:r w:rsidR="00094F76">
        <w:t>в</w:t>
      </w:r>
      <w:r w:rsidRPr="00B91B74">
        <w:t xml:space="preserve"> тестовой зон</w:t>
      </w:r>
      <w:r w:rsidR="00094F76">
        <w:t>е</w:t>
      </w:r>
      <w:r w:rsidRPr="00B91B74">
        <w:t xml:space="preserve"> (T), а другая </w:t>
      </w:r>
      <w:r w:rsidR="006C6988">
        <w:t>– в</w:t>
      </w:r>
      <w:r w:rsidRPr="00B91B74">
        <w:t xml:space="preserve"> контрольной зон</w:t>
      </w:r>
      <w:r w:rsidR="006C6988">
        <w:t>е</w:t>
      </w:r>
      <w:r w:rsidRPr="00B91B74">
        <w:t xml:space="preserve"> (C)</w:t>
      </w:r>
      <w:r w:rsidR="006C6988">
        <w:t xml:space="preserve">. Это означает, что </w:t>
      </w:r>
      <w:r w:rsidR="006C6988" w:rsidRPr="00B91B74">
        <w:t>с помощью этого теста</w:t>
      </w:r>
      <w:r w:rsidRPr="00B91B74">
        <w:t xml:space="preserve">, </w:t>
      </w:r>
      <w:r w:rsidR="006C6988" w:rsidRPr="00B91B74">
        <w:t xml:space="preserve">был обнаружен </w:t>
      </w:r>
      <w:proofErr w:type="spellStart"/>
      <w:r w:rsidRPr="00B91B74">
        <w:t>нуклеокапсидный</w:t>
      </w:r>
      <w:proofErr w:type="spellEnd"/>
      <w:r w:rsidRPr="00B91B74">
        <w:t xml:space="preserve"> антиген SARS-CoV-2.</w:t>
      </w:r>
    </w:p>
    <w:p w14:paraId="33CBC5D4" w14:textId="04D56397" w:rsidR="00F32D5D" w:rsidRDefault="00F32D5D" w:rsidP="00A87307">
      <w:pPr>
        <w:ind w:right="43"/>
        <w:jc w:val="both"/>
      </w:pPr>
      <w:r w:rsidRPr="00B91B74">
        <w:rPr>
          <w:b/>
        </w:rPr>
        <w:t>Отрицательны</w:t>
      </w:r>
      <w:r w:rsidR="00094F76">
        <w:rPr>
          <w:b/>
        </w:rPr>
        <w:t>й</w:t>
      </w:r>
      <w:r w:rsidRPr="00B91B74">
        <w:rPr>
          <w:b/>
        </w:rPr>
        <w:t xml:space="preserve"> результат:</w:t>
      </w:r>
      <w:r w:rsidR="00505F21">
        <w:rPr>
          <w:b/>
        </w:rPr>
        <w:t xml:space="preserve"> </w:t>
      </w:r>
      <w:proofErr w:type="gramStart"/>
      <w:r w:rsidR="00094F76">
        <w:t>В</w:t>
      </w:r>
      <w:proofErr w:type="gramEnd"/>
      <w:r w:rsidR="00505F21" w:rsidRPr="00505F21">
        <w:t xml:space="preserve"> </w:t>
      </w:r>
      <w:r w:rsidR="00505F21" w:rsidRPr="00B91B74">
        <w:t>контрольной зон</w:t>
      </w:r>
      <w:r w:rsidR="00505F21">
        <w:t>е</w:t>
      </w:r>
      <w:r w:rsidR="00505F21" w:rsidRPr="00B91B74">
        <w:t xml:space="preserve"> (C) появляется одна </w:t>
      </w:r>
      <w:r w:rsidR="00505F21">
        <w:t xml:space="preserve">красная </w:t>
      </w:r>
      <w:r w:rsidR="00505F21" w:rsidRPr="00B91B74">
        <w:t>линия</w:t>
      </w:r>
      <w:r w:rsidRPr="00B91B74">
        <w:t xml:space="preserve">, а </w:t>
      </w:r>
      <w:r w:rsidR="00094F76">
        <w:t>в</w:t>
      </w:r>
      <w:r w:rsidRPr="00B91B74">
        <w:t xml:space="preserve"> </w:t>
      </w:r>
      <w:r w:rsidR="00505F21" w:rsidRPr="00B91B74">
        <w:t>тестовой зон</w:t>
      </w:r>
      <w:r w:rsidR="00505F21">
        <w:t>е</w:t>
      </w:r>
      <w:r w:rsidR="00505F21" w:rsidRPr="00B91B74">
        <w:t xml:space="preserve"> (T) красная линия не появляется</w:t>
      </w:r>
      <w:r w:rsidR="00505F21">
        <w:t>. Это означает</w:t>
      </w:r>
      <w:r w:rsidRPr="00B91B74">
        <w:t xml:space="preserve">, что в этом тесте не был обнаружен </w:t>
      </w:r>
      <w:proofErr w:type="spellStart"/>
      <w:r w:rsidRPr="00B91B74">
        <w:t>нуклеокапсидн</w:t>
      </w:r>
      <w:r w:rsidR="00505F21">
        <w:t>ый</w:t>
      </w:r>
      <w:proofErr w:type="spellEnd"/>
      <w:r w:rsidRPr="00B91B74">
        <w:t xml:space="preserve"> антиген SARS-CoV-2.</w:t>
      </w:r>
    </w:p>
    <w:p w14:paraId="6F9289DF" w14:textId="63C025CC" w:rsidR="001C3940" w:rsidRDefault="001C3940" w:rsidP="00A87307">
      <w:pPr>
        <w:ind w:right="43"/>
        <w:jc w:val="both"/>
      </w:pPr>
    </w:p>
    <w:p w14:paraId="5D76F1A1" w14:textId="36FD7C98" w:rsidR="001C3940" w:rsidRDefault="001C3940" w:rsidP="00A87307">
      <w:pPr>
        <w:ind w:right="43"/>
        <w:jc w:val="both"/>
      </w:pPr>
      <w:r>
        <w:rPr>
          <w:noProof/>
        </w:rPr>
        <w:lastRenderedPageBreak/>
        <w:drawing>
          <wp:inline distT="0" distB="0" distL="0" distR="0" wp14:anchorId="7F4C7B06" wp14:editId="3728E59D">
            <wp:extent cx="4961255" cy="1685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E987D" w14:textId="14ACDC50" w:rsidR="001C3940" w:rsidRPr="00030933" w:rsidRDefault="001C3940" w:rsidP="00A87307">
      <w:pPr>
        <w:ind w:right="43"/>
        <w:jc w:val="both"/>
      </w:pPr>
    </w:p>
    <w:p w14:paraId="748EEA2B" w14:textId="41415232" w:rsidR="00DC448B" w:rsidRPr="00030933" w:rsidRDefault="00DC448B" w:rsidP="00EE72A2">
      <w:pPr>
        <w:tabs>
          <w:tab w:val="center" w:pos="1973"/>
        </w:tabs>
        <w:jc w:val="both"/>
        <w:rPr>
          <w:bCs/>
        </w:rPr>
      </w:pPr>
    </w:p>
    <w:p w14:paraId="4E679D65" w14:textId="718F2BE0" w:rsidR="00DC448B" w:rsidRPr="00030933" w:rsidRDefault="000F2FB5" w:rsidP="00EE72A2">
      <w:pPr>
        <w:tabs>
          <w:tab w:val="center" w:pos="1973"/>
        </w:tabs>
        <w:jc w:val="both"/>
        <w:rPr>
          <w:b/>
        </w:rPr>
      </w:pPr>
      <w:r w:rsidRPr="00030933">
        <w:rPr>
          <w:b/>
        </w:rPr>
        <w:t>Х</w:t>
      </w:r>
      <w:r w:rsidR="00505F21" w:rsidRPr="00030933">
        <w:rPr>
          <w:b/>
          <w:lang w:val="en-US"/>
        </w:rPr>
        <w:t>V</w:t>
      </w:r>
      <w:r w:rsidRPr="00030933">
        <w:rPr>
          <w:b/>
          <w:lang w:val="en-US"/>
        </w:rPr>
        <w:t>I</w:t>
      </w:r>
      <w:r w:rsidR="0029725C" w:rsidRPr="00030933">
        <w:rPr>
          <w:b/>
          <w:lang w:val="en-US"/>
        </w:rPr>
        <w:t>I</w:t>
      </w:r>
      <w:r w:rsidRPr="00030933">
        <w:rPr>
          <w:b/>
        </w:rPr>
        <w:t>. Функциональные</w:t>
      </w:r>
      <w:r w:rsidR="00505F21" w:rsidRPr="00030933">
        <w:rPr>
          <w:b/>
        </w:rPr>
        <w:t>, технические и эксплуатационные</w:t>
      </w:r>
      <w:r w:rsidRPr="00030933">
        <w:rPr>
          <w:b/>
        </w:rPr>
        <w:t xml:space="preserve"> характеристики</w:t>
      </w:r>
      <w:r w:rsidR="00505F21" w:rsidRPr="00030933">
        <w:rPr>
          <w:b/>
        </w:rPr>
        <w:t xml:space="preserve"> набора реагентов</w:t>
      </w:r>
    </w:p>
    <w:p w14:paraId="2F7B90B2" w14:textId="77777777" w:rsidR="000F2FB5" w:rsidRPr="00030933" w:rsidRDefault="000F2FB5" w:rsidP="00EE72A2">
      <w:pPr>
        <w:ind w:left="16" w:right="43"/>
        <w:jc w:val="both"/>
        <w:rPr>
          <w:b/>
        </w:rPr>
      </w:pPr>
    </w:p>
    <w:p w14:paraId="3FC75175" w14:textId="77777777" w:rsidR="00A652E3" w:rsidRDefault="000F2FB5" w:rsidP="00EE72A2">
      <w:pPr>
        <w:ind w:left="16" w:right="43"/>
        <w:jc w:val="both"/>
        <w:rPr>
          <w:b/>
        </w:rPr>
      </w:pPr>
      <w:r w:rsidRPr="00030933">
        <w:rPr>
          <w:b/>
        </w:rPr>
        <w:t>Аналитическая чувствительность</w:t>
      </w:r>
    </w:p>
    <w:p w14:paraId="58367597" w14:textId="5C8CBC9C" w:rsidR="000F2FB5" w:rsidRPr="00030933" w:rsidRDefault="000F2FB5" w:rsidP="00EE72A2">
      <w:pPr>
        <w:ind w:left="16" w:right="43"/>
        <w:jc w:val="both"/>
      </w:pPr>
      <w:r w:rsidRPr="00030933">
        <w:t>Предел обнаружения (</w:t>
      </w:r>
      <w:proofErr w:type="spellStart"/>
      <w:r w:rsidRPr="00030933">
        <w:t>LoD</w:t>
      </w:r>
      <w:proofErr w:type="spellEnd"/>
      <w:r w:rsidRPr="00030933">
        <w:t xml:space="preserve">) для </w:t>
      </w:r>
      <w:r w:rsidR="00EF59E0" w:rsidRPr="00030933">
        <w:t xml:space="preserve">набора реагентов «WANTAI SARS-CoV-2 </w:t>
      </w:r>
      <w:proofErr w:type="spellStart"/>
      <w:r w:rsidR="00EF59E0" w:rsidRPr="00030933">
        <w:t>Ag</w:t>
      </w:r>
      <w:proofErr w:type="spellEnd"/>
      <w:r w:rsidR="00EF59E0" w:rsidRPr="00030933">
        <w:t xml:space="preserve"> </w:t>
      </w:r>
      <w:proofErr w:type="spellStart"/>
      <w:r w:rsidR="00EF59E0" w:rsidRPr="00030933">
        <w:t>Rapid</w:t>
      </w:r>
      <w:proofErr w:type="spellEnd"/>
      <w:r w:rsidR="00EF59E0" w:rsidRPr="00030933">
        <w:t xml:space="preserve"> </w:t>
      </w:r>
      <w:proofErr w:type="spellStart"/>
      <w:r w:rsidR="00EF59E0" w:rsidRPr="00030933">
        <w:t>Test</w:t>
      </w:r>
      <w:proofErr w:type="spellEnd"/>
      <w:r w:rsidR="00EF59E0" w:rsidRPr="00030933">
        <w:t xml:space="preserve"> (</w:t>
      </w:r>
      <w:proofErr w:type="spellStart"/>
      <w:r w:rsidR="00EF59E0" w:rsidRPr="00030933">
        <w:t>Colloidal</w:t>
      </w:r>
      <w:proofErr w:type="spellEnd"/>
      <w:r w:rsidR="00EF59E0" w:rsidRPr="00030933">
        <w:t xml:space="preserve"> </w:t>
      </w:r>
      <w:proofErr w:type="spellStart"/>
      <w:r w:rsidR="00EF59E0" w:rsidRPr="00030933">
        <w:t>Gold</w:t>
      </w:r>
      <w:proofErr w:type="spellEnd"/>
      <w:r w:rsidR="00EF59E0" w:rsidRPr="00030933">
        <w:t>)», установленный производителем, указан в таблице 1.</w:t>
      </w:r>
    </w:p>
    <w:p w14:paraId="239A33DF" w14:textId="77777777" w:rsidR="006F1B14" w:rsidRPr="00030933" w:rsidRDefault="006F1B14" w:rsidP="00EE72A2">
      <w:pPr>
        <w:ind w:left="16" w:right="43"/>
        <w:jc w:val="both"/>
        <w:rPr>
          <w:bCs/>
        </w:rPr>
      </w:pPr>
    </w:p>
    <w:p w14:paraId="3C4A189E" w14:textId="676F4E99" w:rsidR="000F2FB5" w:rsidRPr="00030933" w:rsidRDefault="000F2FB5" w:rsidP="00A87307">
      <w:pPr>
        <w:ind w:left="16" w:right="43"/>
        <w:rPr>
          <w:bCs/>
        </w:rPr>
      </w:pPr>
      <w:r w:rsidRPr="00030933">
        <w:rPr>
          <w:bCs/>
        </w:rPr>
        <w:t xml:space="preserve">Таблица </w:t>
      </w:r>
      <w:r w:rsidR="00EF59E0" w:rsidRPr="00030933">
        <w:rPr>
          <w:bCs/>
        </w:rPr>
        <w:t>1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7145"/>
        <w:gridCol w:w="2200"/>
      </w:tblGrid>
      <w:tr w:rsidR="00F34E27" w:rsidRPr="00030933" w14:paraId="15092459" w14:textId="77777777" w:rsidTr="00987C1A">
        <w:trPr>
          <w:trHeight w:val="277"/>
        </w:trPr>
        <w:tc>
          <w:tcPr>
            <w:tcW w:w="5000" w:type="pct"/>
            <w:gridSpan w:val="2"/>
            <w:tcMar>
              <w:top w:w="57" w:type="dxa"/>
              <w:left w:w="113" w:type="dxa"/>
              <w:bottom w:w="57" w:type="dxa"/>
            </w:tcMar>
          </w:tcPr>
          <w:p w14:paraId="54B73F6D" w14:textId="7E7B25A2" w:rsidR="00F34E27" w:rsidRPr="000D5077" w:rsidRDefault="00F34E27" w:rsidP="00956E70">
            <w:pPr>
              <w:ind w:left="87"/>
              <w:jc w:val="center"/>
              <w:rPr>
                <w:sz w:val="22"/>
                <w:szCs w:val="22"/>
              </w:rPr>
            </w:pPr>
            <w:r w:rsidRPr="000D5077">
              <w:rPr>
                <w:sz w:val="22"/>
                <w:szCs w:val="22"/>
              </w:rPr>
              <w:t>Предел обнаружения (</w:t>
            </w:r>
            <w:proofErr w:type="spellStart"/>
            <w:r w:rsidRPr="000D5077">
              <w:rPr>
                <w:sz w:val="22"/>
                <w:szCs w:val="22"/>
              </w:rPr>
              <w:t>LoD</w:t>
            </w:r>
            <w:proofErr w:type="spellEnd"/>
            <w:r w:rsidRPr="000D5077">
              <w:rPr>
                <w:sz w:val="22"/>
                <w:szCs w:val="22"/>
              </w:rPr>
              <w:t>)</w:t>
            </w:r>
          </w:p>
        </w:tc>
      </w:tr>
      <w:tr w:rsidR="00F34E27" w:rsidRPr="00030933" w14:paraId="7637515C" w14:textId="77777777" w:rsidTr="00987C1A">
        <w:trPr>
          <w:trHeight w:val="277"/>
        </w:trPr>
        <w:tc>
          <w:tcPr>
            <w:tcW w:w="3823" w:type="pct"/>
            <w:tcMar>
              <w:top w:w="57" w:type="dxa"/>
              <w:left w:w="113" w:type="dxa"/>
              <w:bottom w:w="57" w:type="dxa"/>
            </w:tcMar>
          </w:tcPr>
          <w:p w14:paraId="21AE2CEB" w14:textId="554C4065" w:rsidR="00F34E27" w:rsidRPr="000D5077" w:rsidRDefault="00F34E27" w:rsidP="00956E70">
            <w:pPr>
              <w:jc w:val="center"/>
              <w:rPr>
                <w:sz w:val="22"/>
                <w:szCs w:val="22"/>
              </w:rPr>
            </w:pPr>
            <w:r w:rsidRPr="000D507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77" w:type="pct"/>
            <w:tcMar>
              <w:top w:w="57" w:type="dxa"/>
              <w:left w:w="113" w:type="dxa"/>
              <w:bottom w:w="57" w:type="dxa"/>
            </w:tcMar>
          </w:tcPr>
          <w:p w14:paraId="31FDF1F0" w14:textId="76D0CA34" w:rsidR="00F34E27" w:rsidRPr="000D5077" w:rsidRDefault="00F34E27" w:rsidP="00956E70">
            <w:pPr>
              <w:ind w:left="87"/>
              <w:jc w:val="center"/>
              <w:rPr>
                <w:sz w:val="22"/>
                <w:szCs w:val="22"/>
              </w:rPr>
            </w:pPr>
            <w:r w:rsidRPr="000D5077">
              <w:rPr>
                <w:sz w:val="22"/>
                <w:szCs w:val="22"/>
              </w:rPr>
              <w:t>Значение</w:t>
            </w:r>
          </w:p>
        </w:tc>
      </w:tr>
      <w:tr w:rsidR="00B91B74" w:rsidRPr="00030933" w14:paraId="44664185" w14:textId="77777777" w:rsidTr="00987C1A">
        <w:trPr>
          <w:trHeight w:val="277"/>
        </w:trPr>
        <w:tc>
          <w:tcPr>
            <w:tcW w:w="3823" w:type="pct"/>
            <w:tcMar>
              <w:top w:w="57" w:type="dxa"/>
              <w:left w:w="113" w:type="dxa"/>
              <w:bottom w:w="57" w:type="dxa"/>
            </w:tcMar>
          </w:tcPr>
          <w:p w14:paraId="1AC430EB" w14:textId="4A07FC2C" w:rsidR="000F2FB5" w:rsidRPr="000D5077" w:rsidRDefault="000F2FB5" w:rsidP="00A87307">
            <w:pPr>
              <w:rPr>
                <w:sz w:val="22"/>
                <w:szCs w:val="22"/>
                <w:lang w:val="en-US"/>
              </w:rPr>
            </w:pPr>
            <w:proofErr w:type="spellStart"/>
            <w:r w:rsidRPr="000D5077">
              <w:rPr>
                <w:sz w:val="22"/>
                <w:szCs w:val="22"/>
              </w:rPr>
              <w:t>пг</w:t>
            </w:r>
            <w:proofErr w:type="spellEnd"/>
            <w:r w:rsidR="004F46E1" w:rsidRPr="000D5077">
              <w:rPr>
                <w:sz w:val="22"/>
                <w:szCs w:val="22"/>
                <w:lang w:val="en-US"/>
              </w:rPr>
              <w:t xml:space="preserve"> </w:t>
            </w:r>
            <w:r w:rsidRPr="000D5077">
              <w:rPr>
                <w:sz w:val="22"/>
                <w:szCs w:val="22"/>
                <w:lang w:val="en-US"/>
              </w:rPr>
              <w:t>/</w:t>
            </w:r>
            <w:r w:rsidR="004F46E1" w:rsidRPr="000D5077">
              <w:rPr>
                <w:sz w:val="22"/>
                <w:szCs w:val="22"/>
                <w:lang w:val="en-US"/>
              </w:rPr>
              <w:t xml:space="preserve"> </w:t>
            </w:r>
            <w:r w:rsidRPr="000D5077">
              <w:rPr>
                <w:sz w:val="22"/>
                <w:szCs w:val="22"/>
              </w:rPr>
              <w:t>мл</w:t>
            </w:r>
            <w:r w:rsidR="00EE72A2" w:rsidRPr="000D5077">
              <w:rPr>
                <w:sz w:val="22"/>
                <w:szCs w:val="22"/>
                <w:lang w:val="en-US"/>
              </w:rPr>
              <w:t xml:space="preserve"> (China National Reference (code: GBW(E)091097)</w:t>
            </w:r>
          </w:p>
        </w:tc>
        <w:tc>
          <w:tcPr>
            <w:tcW w:w="1177" w:type="pct"/>
            <w:tcMar>
              <w:top w:w="57" w:type="dxa"/>
              <w:left w:w="113" w:type="dxa"/>
              <w:bottom w:w="57" w:type="dxa"/>
            </w:tcMar>
          </w:tcPr>
          <w:p w14:paraId="73955EE4" w14:textId="67931CD5" w:rsidR="000F2FB5" w:rsidRPr="000D5077" w:rsidRDefault="000F2FB5" w:rsidP="00A87307">
            <w:pPr>
              <w:ind w:left="85"/>
              <w:jc w:val="center"/>
              <w:rPr>
                <w:sz w:val="22"/>
                <w:szCs w:val="22"/>
              </w:rPr>
            </w:pPr>
            <w:r w:rsidRPr="000D5077">
              <w:rPr>
                <w:sz w:val="22"/>
                <w:szCs w:val="22"/>
              </w:rPr>
              <w:t>25</w:t>
            </w:r>
          </w:p>
        </w:tc>
      </w:tr>
      <w:tr w:rsidR="00B91B74" w:rsidRPr="00030933" w14:paraId="1A5E36C9" w14:textId="77777777" w:rsidTr="00987C1A">
        <w:trPr>
          <w:trHeight w:val="277"/>
        </w:trPr>
        <w:tc>
          <w:tcPr>
            <w:tcW w:w="3823" w:type="pct"/>
            <w:tcMar>
              <w:top w:w="57" w:type="dxa"/>
              <w:left w:w="113" w:type="dxa"/>
              <w:bottom w:w="57" w:type="dxa"/>
            </w:tcMar>
          </w:tcPr>
          <w:p w14:paraId="21EC6C5A" w14:textId="77777777" w:rsidR="000F2FB5" w:rsidRPr="000D5077" w:rsidRDefault="000F2FB5" w:rsidP="00A87307">
            <w:pPr>
              <w:rPr>
                <w:sz w:val="22"/>
                <w:szCs w:val="22"/>
              </w:rPr>
            </w:pPr>
            <w:r w:rsidRPr="000D5077">
              <w:rPr>
                <w:sz w:val="22"/>
                <w:szCs w:val="22"/>
              </w:rPr>
              <w:t>TCID</w:t>
            </w:r>
            <w:r w:rsidRPr="000D5077">
              <w:rPr>
                <w:sz w:val="22"/>
                <w:szCs w:val="22"/>
                <w:vertAlign w:val="subscript"/>
              </w:rPr>
              <w:t>50</w:t>
            </w:r>
            <w:r w:rsidRPr="000D5077">
              <w:rPr>
                <w:sz w:val="22"/>
                <w:szCs w:val="22"/>
              </w:rPr>
              <w:t xml:space="preserve"> / мл</w:t>
            </w:r>
          </w:p>
        </w:tc>
        <w:tc>
          <w:tcPr>
            <w:tcW w:w="1177" w:type="pct"/>
            <w:tcMar>
              <w:top w:w="57" w:type="dxa"/>
              <w:left w:w="113" w:type="dxa"/>
              <w:bottom w:w="57" w:type="dxa"/>
            </w:tcMar>
          </w:tcPr>
          <w:p w14:paraId="060574CB" w14:textId="11C608F9" w:rsidR="000F2FB5" w:rsidRPr="000D5077" w:rsidRDefault="000F2FB5" w:rsidP="00A87307">
            <w:pPr>
              <w:ind w:left="85"/>
              <w:jc w:val="center"/>
              <w:rPr>
                <w:sz w:val="22"/>
                <w:szCs w:val="22"/>
              </w:rPr>
            </w:pPr>
            <w:r w:rsidRPr="000D5077">
              <w:rPr>
                <w:sz w:val="22"/>
                <w:szCs w:val="22"/>
              </w:rPr>
              <w:t>230</w:t>
            </w:r>
          </w:p>
        </w:tc>
      </w:tr>
      <w:tr w:rsidR="00B91B74" w:rsidRPr="00030933" w14:paraId="6F08120D" w14:textId="77777777" w:rsidTr="00987C1A">
        <w:trPr>
          <w:trHeight w:val="277"/>
        </w:trPr>
        <w:tc>
          <w:tcPr>
            <w:tcW w:w="3823" w:type="pct"/>
            <w:tcMar>
              <w:top w:w="57" w:type="dxa"/>
              <w:left w:w="113" w:type="dxa"/>
              <w:bottom w:w="57" w:type="dxa"/>
            </w:tcMar>
          </w:tcPr>
          <w:p w14:paraId="2B6888D9" w14:textId="5CA3C7D8" w:rsidR="000F2FB5" w:rsidRPr="000D5077" w:rsidRDefault="000F2FB5" w:rsidP="00A87307">
            <w:pPr>
              <w:rPr>
                <w:sz w:val="22"/>
                <w:szCs w:val="22"/>
              </w:rPr>
            </w:pPr>
            <w:r w:rsidRPr="000D5077">
              <w:rPr>
                <w:sz w:val="22"/>
                <w:szCs w:val="22"/>
              </w:rPr>
              <w:t>копий / мл</w:t>
            </w:r>
          </w:p>
        </w:tc>
        <w:tc>
          <w:tcPr>
            <w:tcW w:w="1177" w:type="pct"/>
            <w:tcMar>
              <w:top w:w="57" w:type="dxa"/>
              <w:left w:w="113" w:type="dxa"/>
              <w:bottom w:w="57" w:type="dxa"/>
            </w:tcMar>
          </w:tcPr>
          <w:p w14:paraId="6456BFC7" w14:textId="7552FA04" w:rsidR="000F2FB5" w:rsidRPr="000D5077" w:rsidRDefault="000F2FB5" w:rsidP="00A87307">
            <w:pPr>
              <w:ind w:left="85"/>
              <w:jc w:val="center"/>
              <w:rPr>
                <w:sz w:val="22"/>
                <w:szCs w:val="22"/>
              </w:rPr>
            </w:pPr>
            <w:r w:rsidRPr="000D5077">
              <w:rPr>
                <w:sz w:val="22"/>
                <w:szCs w:val="22"/>
              </w:rPr>
              <w:t>147</w:t>
            </w:r>
          </w:p>
        </w:tc>
      </w:tr>
    </w:tbl>
    <w:p w14:paraId="1A0690BD" w14:textId="1C9330CE" w:rsidR="000F2FB5" w:rsidRPr="00030933" w:rsidRDefault="000F2FB5" w:rsidP="00605254">
      <w:pPr>
        <w:ind w:left="16" w:right="43"/>
        <w:jc w:val="both"/>
        <w:rPr>
          <w:bCs/>
        </w:rPr>
      </w:pPr>
    </w:p>
    <w:p w14:paraId="55C40F33" w14:textId="40679C26" w:rsidR="00505F21" w:rsidRPr="002D0992" w:rsidRDefault="00505F21" w:rsidP="00605254">
      <w:pPr>
        <w:ind w:left="16" w:right="43"/>
        <w:jc w:val="both"/>
      </w:pPr>
      <w:r w:rsidRPr="002D0992">
        <w:rPr>
          <w:bCs/>
        </w:rPr>
        <w:t xml:space="preserve">При проведении клинических испытаний на территории </w:t>
      </w:r>
      <w:r w:rsidRPr="002D0992">
        <w:t>Российской Федерации</w:t>
      </w:r>
      <w:r w:rsidR="00956E70" w:rsidRPr="002D0992">
        <w:t xml:space="preserve"> при использовании штамма </w:t>
      </w:r>
      <w:proofErr w:type="spellStart"/>
      <w:r w:rsidR="00956E70" w:rsidRPr="002D0992">
        <w:t>коронавируса</w:t>
      </w:r>
      <w:proofErr w:type="spellEnd"/>
      <w:r w:rsidR="00956E70" w:rsidRPr="002D0992">
        <w:t xml:space="preserve"> SARS-CoV-2 </w:t>
      </w:r>
      <w:r w:rsidR="00987C1A" w:rsidRPr="002D0992">
        <w:t>«ГК2020/1» из панели</w:t>
      </w:r>
      <w:r w:rsidR="002D79B0" w:rsidRPr="002D0992">
        <w:t xml:space="preserve"> инактивированных возбудителей респираторных инфекций для исследования аналитической специфичности (ФГБУ «НИЦЭМ им. Н.Ф. </w:t>
      </w:r>
      <w:proofErr w:type="spellStart"/>
      <w:r w:rsidR="002D79B0" w:rsidRPr="002D0992">
        <w:t>Гамалеи</w:t>
      </w:r>
      <w:proofErr w:type="spellEnd"/>
      <w:r w:rsidR="002D79B0" w:rsidRPr="002D0992">
        <w:t>»)</w:t>
      </w:r>
      <w:r w:rsidR="00987C1A" w:rsidRPr="002D0992">
        <w:t xml:space="preserve"> </w:t>
      </w:r>
      <w:r w:rsidR="00956E70" w:rsidRPr="002D0992">
        <w:t>установлен предел обнаружения</w:t>
      </w:r>
      <w:r w:rsidRPr="002D0992">
        <w:t xml:space="preserve"> </w:t>
      </w:r>
      <w:r w:rsidR="00EA2D77" w:rsidRPr="002D0992">
        <w:t>2</w:t>
      </w:r>
      <w:r w:rsidR="00EA2D77" w:rsidRPr="002D0992">
        <w:sym w:font="Symbol" w:char="F0B4"/>
      </w:r>
      <w:r w:rsidR="00EA2D77" w:rsidRPr="002D0992">
        <w:t>10</w:t>
      </w:r>
      <w:r w:rsidR="00EA2D77" w:rsidRPr="002D0992">
        <w:rPr>
          <w:vertAlign w:val="superscript"/>
        </w:rPr>
        <w:t>5</w:t>
      </w:r>
      <w:r w:rsidR="00EA2D77" w:rsidRPr="002D0992">
        <w:t xml:space="preserve"> копий/мл.</w:t>
      </w:r>
    </w:p>
    <w:p w14:paraId="6859157A" w14:textId="22AC984E" w:rsidR="00505F21" w:rsidRDefault="00505F21" w:rsidP="00605254">
      <w:pPr>
        <w:ind w:left="16" w:right="43"/>
        <w:jc w:val="both"/>
        <w:rPr>
          <w:bCs/>
        </w:rPr>
      </w:pPr>
    </w:p>
    <w:p w14:paraId="42AA1975" w14:textId="77777777" w:rsidR="003D1718" w:rsidRDefault="00295FE0" w:rsidP="00295FE0">
      <w:pPr>
        <w:ind w:left="16" w:right="43"/>
        <w:jc w:val="both"/>
        <w:rPr>
          <w:b/>
        </w:rPr>
      </w:pPr>
      <w:r w:rsidRPr="00B91B74">
        <w:rPr>
          <w:b/>
        </w:rPr>
        <w:t>Перекрестная реактивность</w:t>
      </w:r>
    </w:p>
    <w:p w14:paraId="7839B80E" w14:textId="2231100F" w:rsidR="00295FE0" w:rsidRDefault="009B375B" w:rsidP="00295FE0">
      <w:pPr>
        <w:ind w:left="16" w:right="43"/>
        <w:jc w:val="both"/>
      </w:pPr>
      <w:r>
        <w:t xml:space="preserve">С помощью </w:t>
      </w:r>
      <w:r w:rsidRPr="009B375B">
        <w:t xml:space="preserve">набора реагентов «WANTAI SARS-CoV-2 </w:t>
      </w:r>
      <w:proofErr w:type="spellStart"/>
      <w:r w:rsidRPr="009B375B">
        <w:t>Ag</w:t>
      </w:r>
      <w:proofErr w:type="spellEnd"/>
      <w:r w:rsidRPr="009B375B">
        <w:t xml:space="preserve"> </w:t>
      </w:r>
      <w:proofErr w:type="spellStart"/>
      <w:r w:rsidRPr="009B375B">
        <w:t>Rapid</w:t>
      </w:r>
      <w:proofErr w:type="spellEnd"/>
      <w:r w:rsidRPr="009B375B">
        <w:t xml:space="preserve"> </w:t>
      </w:r>
      <w:proofErr w:type="spellStart"/>
      <w:r w:rsidRPr="009B375B">
        <w:t>Test</w:t>
      </w:r>
      <w:proofErr w:type="spellEnd"/>
      <w:r w:rsidRPr="009B375B">
        <w:t xml:space="preserve"> (</w:t>
      </w:r>
      <w:proofErr w:type="spellStart"/>
      <w:r w:rsidRPr="009B375B">
        <w:t>Colloidal</w:t>
      </w:r>
      <w:proofErr w:type="spellEnd"/>
      <w:r w:rsidRPr="009B375B">
        <w:t xml:space="preserve"> </w:t>
      </w:r>
      <w:proofErr w:type="spellStart"/>
      <w:r w:rsidRPr="009B375B">
        <w:t>Gold</w:t>
      </w:r>
      <w:proofErr w:type="spellEnd"/>
      <w:r w:rsidRPr="009B375B">
        <w:t>)»</w:t>
      </w:r>
      <w:r>
        <w:t xml:space="preserve"> производителем </w:t>
      </w:r>
      <w:r w:rsidRPr="00B91B74">
        <w:t>был</w:t>
      </w:r>
      <w:r>
        <w:t>и</w:t>
      </w:r>
      <w:r w:rsidRPr="00B91B74">
        <w:t xml:space="preserve"> протестирован</w:t>
      </w:r>
      <w:r>
        <w:t>ы</w:t>
      </w:r>
      <w:r w:rsidRPr="00B91B74">
        <w:t xml:space="preserve"> и </w:t>
      </w:r>
      <w:r>
        <w:t>продемонстрировали отрицательный результат</w:t>
      </w:r>
      <w:r w:rsidRPr="00B91B74">
        <w:t xml:space="preserve"> </w:t>
      </w:r>
      <w:r>
        <w:t>с</w:t>
      </w:r>
      <w:r w:rsidR="00295FE0" w:rsidRPr="00B91B74">
        <w:t>ледующ</w:t>
      </w:r>
      <w:r>
        <w:t>ие</w:t>
      </w:r>
      <w:r w:rsidR="00295FE0" w:rsidRPr="00B91B74">
        <w:t xml:space="preserve"> </w:t>
      </w:r>
      <w:r>
        <w:t xml:space="preserve">широко распространенные </w:t>
      </w:r>
      <w:r w:rsidR="00295FE0" w:rsidRPr="00B91B74">
        <w:t>респираторны</w:t>
      </w:r>
      <w:r>
        <w:t>е</w:t>
      </w:r>
      <w:r w:rsidR="00295FE0" w:rsidRPr="00B91B74">
        <w:t xml:space="preserve"> патоге</w:t>
      </w:r>
      <w:r>
        <w:t>ны</w:t>
      </w:r>
      <w:r w:rsidR="00295FE0" w:rsidRPr="00B91B74">
        <w:t xml:space="preserve">: </w:t>
      </w:r>
      <w:proofErr w:type="spellStart"/>
      <w:r w:rsidR="00295FE0" w:rsidRPr="00B91B74">
        <w:t>Staphylococcus</w:t>
      </w:r>
      <w:proofErr w:type="spellEnd"/>
      <w:r w:rsidR="00295FE0" w:rsidRPr="00B91B74">
        <w:t xml:space="preserve"> </w:t>
      </w:r>
      <w:proofErr w:type="spellStart"/>
      <w:r w:rsidR="00295FE0" w:rsidRPr="00B91B74">
        <w:t>aureus</w:t>
      </w:r>
      <w:proofErr w:type="spellEnd"/>
      <w:r w:rsidR="00295FE0" w:rsidRPr="00B91B74">
        <w:t xml:space="preserve">, </w:t>
      </w:r>
      <w:proofErr w:type="spellStart"/>
      <w:r w:rsidR="00295FE0" w:rsidRPr="00B91B74">
        <w:t>Streptococcus</w:t>
      </w:r>
      <w:proofErr w:type="spellEnd"/>
      <w:r w:rsidR="00295FE0" w:rsidRPr="00B91B74">
        <w:t xml:space="preserve"> </w:t>
      </w:r>
      <w:proofErr w:type="spellStart"/>
      <w:r w:rsidR="00295FE0" w:rsidRPr="00B91B74">
        <w:t>pneumoniae</w:t>
      </w:r>
      <w:proofErr w:type="spellEnd"/>
      <w:r w:rsidR="00295FE0" w:rsidRPr="00B91B74">
        <w:t xml:space="preserve">, </w:t>
      </w:r>
      <w:r w:rsidR="00112468">
        <w:rPr>
          <w:lang w:val="en-US"/>
        </w:rPr>
        <w:t>Chlamydia</w:t>
      </w:r>
      <w:r w:rsidR="00112468" w:rsidRPr="00112468">
        <w:t xml:space="preserve"> </w:t>
      </w:r>
      <w:proofErr w:type="spellStart"/>
      <w:r w:rsidR="00112468" w:rsidRPr="00B91B74">
        <w:t>pneumoniae</w:t>
      </w:r>
      <w:proofErr w:type="spellEnd"/>
      <w:r w:rsidR="00295FE0" w:rsidRPr="00B91B74">
        <w:t xml:space="preserve">, </w:t>
      </w:r>
      <w:proofErr w:type="spellStart"/>
      <w:r w:rsidR="00295FE0" w:rsidRPr="00295FE0">
        <w:t>Mycoplasma</w:t>
      </w:r>
      <w:proofErr w:type="spellEnd"/>
      <w:r w:rsidR="00295FE0" w:rsidRPr="00295FE0">
        <w:t xml:space="preserve"> </w:t>
      </w:r>
      <w:proofErr w:type="spellStart"/>
      <w:r w:rsidR="00295FE0" w:rsidRPr="00295FE0">
        <w:t>pneumonia</w:t>
      </w:r>
      <w:proofErr w:type="spellEnd"/>
      <w:r w:rsidR="00295FE0">
        <w:rPr>
          <w:lang w:val="en-US"/>
        </w:rPr>
        <w:t>e</w:t>
      </w:r>
      <w:r w:rsidR="00112468" w:rsidRPr="00112468">
        <w:t>,</w:t>
      </w:r>
      <w:r w:rsidR="00295FE0" w:rsidRPr="00B91B74">
        <w:t xml:space="preserve"> </w:t>
      </w:r>
      <w:proofErr w:type="spellStart"/>
      <w:r w:rsidR="00295FE0" w:rsidRPr="00B91B74">
        <w:t>Mycobacterium</w:t>
      </w:r>
      <w:proofErr w:type="spellEnd"/>
      <w:r w:rsidR="00295FE0" w:rsidRPr="00B91B74">
        <w:t xml:space="preserve"> </w:t>
      </w:r>
      <w:proofErr w:type="spellStart"/>
      <w:r w:rsidR="00295FE0" w:rsidRPr="00B91B74">
        <w:t>tuberculosis</w:t>
      </w:r>
      <w:proofErr w:type="spellEnd"/>
      <w:r w:rsidR="00295FE0" w:rsidRPr="00B91B74">
        <w:t xml:space="preserve">, </w:t>
      </w:r>
      <w:r w:rsidR="00112468">
        <w:t xml:space="preserve">вирус кори, </w:t>
      </w:r>
      <w:r w:rsidR="00295FE0" w:rsidRPr="00B91B74">
        <w:t>эпидемическ</w:t>
      </w:r>
      <w:r w:rsidR="00112468">
        <w:t xml:space="preserve">ого </w:t>
      </w:r>
      <w:r w:rsidR="00295FE0" w:rsidRPr="00B91B74">
        <w:t>паротит</w:t>
      </w:r>
      <w:r w:rsidR="00112468">
        <w:t>а</w:t>
      </w:r>
      <w:r w:rsidR="00295FE0" w:rsidRPr="00B91B74">
        <w:t xml:space="preserve">, </w:t>
      </w:r>
      <w:proofErr w:type="spellStart"/>
      <w:r w:rsidR="00295FE0" w:rsidRPr="00B91B74">
        <w:t>Bordetella</w:t>
      </w:r>
      <w:proofErr w:type="spellEnd"/>
      <w:r w:rsidR="00295FE0" w:rsidRPr="00B91B74">
        <w:t xml:space="preserve"> </w:t>
      </w:r>
      <w:proofErr w:type="spellStart"/>
      <w:r w:rsidR="00295FE0" w:rsidRPr="00B91B74">
        <w:t>parapertussi</w:t>
      </w:r>
      <w:proofErr w:type="spellEnd"/>
      <w:r w:rsidR="00112468">
        <w:rPr>
          <w:lang w:val="en-US"/>
        </w:rPr>
        <w:t>s</w:t>
      </w:r>
      <w:r w:rsidR="00295FE0" w:rsidRPr="00B91B74">
        <w:t xml:space="preserve">, аденовирус, </w:t>
      </w:r>
      <w:r w:rsidR="00112468">
        <w:t xml:space="preserve">вирус </w:t>
      </w:r>
      <w:proofErr w:type="spellStart"/>
      <w:r w:rsidR="00295FE0" w:rsidRPr="00B91B74">
        <w:t>парагрипп</w:t>
      </w:r>
      <w:r w:rsidR="00112468">
        <w:t>а</w:t>
      </w:r>
      <w:proofErr w:type="spellEnd"/>
      <w:r w:rsidR="00295FE0" w:rsidRPr="00B91B74">
        <w:t xml:space="preserve">, </w:t>
      </w:r>
      <w:proofErr w:type="spellStart"/>
      <w:r w:rsidR="00295FE0" w:rsidRPr="00B91B74">
        <w:t>hMPV</w:t>
      </w:r>
      <w:proofErr w:type="spellEnd"/>
      <w:r w:rsidR="00295FE0" w:rsidRPr="00B91B74">
        <w:t xml:space="preserve">, человеческий </w:t>
      </w:r>
      <w:proofErr w:type="spellStart"/>
      <w:r w:rsidR="00295FE0" w:rsidRPr="00B91B74">
        <w:t>коронавирус</w:t>
      </w:r>
      <w:proofErr w:type="spellEnd"/>
      <w:r w:rsidR="00295FE0" w:rsidRPr="00B91B74">
        <w:t xml:space="preserve"> 229E, человеческий </w:t>
      </w:r>
      <w:proofErr w:type="spellStart"/>
      <w:r w:rsidR="00295FE0" w:rsidRPr="00B91B74">
        <w:t>коронавирус</w:t>
      </w:r>
      <w:proofErr w:type="spellEnd"/>
      <w:r w:rsidR="00295FE0" w:rsidRPr="00B91B74">
        <w:t xml:space="preserve"> NL63, человеческий </w:t>
      </w:r>
      <w:proofErr w:type="spellStart"/>
      <w:r w:rsidR="00295FE0" w:rsidRPr="00B91B74">
        <w:t>коронавирус</w:t>
      </w:r>
      <w:proofErr w:type="spellEnd"/>
      <w:r w:rsidR="00295FE0" w:rsidRPr="00B91B74">
        <w:t xml:space="preserve"> OC43, человеческий </w:t>
      </w:r>
      <w:proofErr w:type="spellStart"/>
      <w:r w:rsidR="00295FE0" w:rsidRPr="00B91B74">
        <w:t>коронавирус</w:t>
      </w:r>
      <w:proofErr w:type="spellEnd"/>
      <w:r w:rsidR="00295FE0" w:rsidRPr="00B91B74">
        <w:t xml:space="preserve"> HKU1, RSV, </w:t>
      </w:r>
      <w:r w:rsidR="00112468">
        <w:t>вирус г</w:t>
      </w:r>
      <w:r w:rsidR="00295FE0" w:rsidRPr="00B91B74">
        <w:t>рипп</w:t>
      </w:r>
      <w:r w:rsidR="00112468">
        <w:t>а</w:t>
      </w:r>
      <w:r w:rsidR="00295FE0" w:rsidRPr="00B91B74">
        <w:t xml:space="preserve"> A, </w:t>
      </w:r>
      <w:r w:rsidR="003D1718">
        <w:t xml:space="preserve">вирус </w:t>
      </w:r>
      <w:r w:rsidR="00295FE0" w:rsidRPr="00B91B74">
        <w:t>грипп</w:t>
      </w:r>
      <w:r w:rsidR="00112468">
        <w:t>а</w:t>
      </w:r>
      <w:r w:rsidR="00295FE0" w:rsidRPr="00B91B74">
        <w:t xml:space="preserve"> B, </w:t>
      </w:r>
      <w:r w:rsidR="003D1718">
        <w:t xml:space="preserve">вирус </w:t>
      </w:r>
      <w:r w:rsidR="00112468">
        <w:t>Эпштейн-</w:t>
      </w:r>
      <w:proofErr w:type="spellStart"/>
      <w:r w:rsidR="00112468">
        <w:t>Барра</w:t>
      </w:r>
      <w:proofErr w:type="spellEnd"/>
      <w:r w:rsidR="00295FE0" w:rsidRPr="00B91B74">
        <w:t xml:space="preserve">, </w:t>
      </w:r>
      <w:proofErr w:type="spellStart"/>
      <w:r w:rsidR="00295FE0" w:rsidRPr="00B91B74">
        <w:t>энтеровирус</w:t>
      </w:r>
      <w:proofErr w:type="spellEnd"/>
      <w:r w:rsidR="00295FE0" w:rsidRPr="00B91B74">
        <w:t xml:space="preserve">, </w:t>
      </w:r>
      <w:proofErr w:type="spellStart"/>
      <w:r w:rsidR="00295FE0" w:rsidRPr="00B91B74">
        <w:t>риновирус</w:t>
      </w:r>
      <w:proofErr w:type="spellEnd"/>
      <w:r w:rsidR="00295FE0" w:rsidRPr="00B91B74">
        <w:t>.</w:t>
      </w:r>
    </w:p>
    <w:p w14:paraId="4F41E385" w14:textId="77777777" w:rsidR="009B375B" w:rsidRDefault="009B375B" w:rsidP="009B375B">
      <w:pPr>
        <w:ind w:left="16" w:right="43"/>
        <w:jc w:val="both"/>
      </w:pPr>
    </w:p>
    <w:p w14:paraId="551B7074" w14:textId="26BBAD51" w:rsidR="003D1718" w:rsidRDefault="003D1718" w:rsidP="009B375B">
      <w:pPr>
        <w:jc w:val="both"/>
      </w:pPr>
      <w:r w:rsidRPr="003E3440">
        <w:t>По данным клинических испытаний, проведенных на территории Российской Федерации, при использовании набора реагентов</w:t>
      </w:r>
      <w:r w:rsidR="009B375B">
        <w:t xml:space="preserve"> </w:t>
      </w:r>
      <w:r w:rsidR="009B375B" w:rsidRPr="009B375B">
        <w:t xml:space="preserve">«WANTAI SARS-CoV-2 </w:t>
      </w:r>
      <w:proofErr w:type="spellStart"/>
      <w:r w:rsidR="009B375B" w:rsidRPr="009B375B">
        <w:t>Ag</w:t>
      </w:r>
      <w:proofErr w:type="spellEnd"/>
      <w:r w:rsidR="009B375B" w:rsidRPr="009B375B">
        <w:t xml:space="preserve"> </w:t>
      </w:r>
      <w:proofErr w:type="spellStart"/>
      <w:r w:rsidR="009B375B" w:rsidRPr="009B375B">
        <w:t>Rapid</w:t>
      </w:r>
      <w:proofErr w:type="spellEnd"/>
      <w:r w:rsidR="009B375B" w:rsidRPr="009B375B">
        <w:t xml:space="preserve"> </w:t>
      </w:r>
      <w:proofErr w:type="spellStart"/>
      <w:r w:rsidR="009B375B" w:rsidRPr="009B375B">
        <w:t>Test</w:t>
      </w:r>
      <w:proofErr w:type="spellEnd"/>
      <w:r w:rsidR="009B375B" w:rsidRPr="009B375B">
        <w:t xml:space="preserve"> (</w:t>
      </w:r>
      <w:proofErr w:type="spellStart"/>
      <w:r w:rsidR="009B375B" w:rsidRPr="009B375B">
        <w:t>Colloidal</w:t>
      </w:r>
      <w:proofErr w:type="spellEnd"/>
      <w:r w:rsidR="009B375B" w:rsidRPr="009B375B">
        <w:t xml:space="preserve"> </w:t>
      </w:r>
      <w:proofErr w:type="spellStart"/>
      <w:r w:rsidR="009B375B" w:rsidRPr="009B375B">
        <w:t>Gold</w:t>
      </w:r>
      <w:proofErr w:type="spellEnd"/>
      <w:r w:rsidR="009B375B" w:rsidRPr="009B375B">
        <w:t>)»</w:t>
      </w:r>
      <w:r w:rsidRPr="003E3440">
        <w:t xml:space="preserve"> перекрестная реактивность отсутствует со следующими возбудителями инфекционных болезней человека </w:t>
      </w:r>
      <w:r w:rsidR="00945FAC">
        <w:t>(таблица 2)</w:t>
      </w:r>
      <w:r w:rsidRPr="003E3440">
        <w:t>:</w:t>
      </w:r>
    </w:p>
    <w:p w14:paraId="18B5EC82" w14:textId="0A2EABCC" w:rsidR="003D1718" w:rsidRDefault="003D1718" w:rsidP="009B375B">
      <w:pPr>
        <w:jc w:val="both"/>
      </w:pPr>
    </w:p>
    <w:p w14:paraId="3B815F6A" w14:textId="0EB9651E" w:rsidR="00945FAC" w:rsidRPr="003E3440" w:rsidRDefault="00945FAC" w:rsidP="009B375B">
      <w:pPr>
        <w:jc w:val="both"/>
      </w:pPr>
      <w:r>
        <w:t>Таблица 2</w:t>
      </w:r>
    </w:p>
    <w:tbl>
      <w:tblPr>
        <w:tblStyle w:val="a3"/>
        <w:tblW w:w="4756" w:type="pct"/>
        <w:tblLook w:val="01E0" w:firstRow="1" w:lastRow="1" w:firstColumn="1" w:lastColumn="1" w:noHBand="0" w:noVBand="0"/>
      </w:tblPr>
      <w:tblGrid>
        <w:gridCol w:w="6343"/>
        <w:gridCol w:w="2546"/>
      </w:tblGrid>
      <w:tr w:rsidR="00CD66FD" w:rsidRPr="0004126F" w14:paraId="3211D733" w14:textId="77777777" w:rsidTr="00CD66FD">
        <w:trPr>
          <w:trHeight w:val="52"/>
        </w:trPr>
        <w:tc>
          <w:tcPr>
            <w:tcW w:w="3568" w:type="pct"/>
            <w:hideMark/>
          </w:tcPr>
          <w:p w14:paraId="07150930" w14:textId="77777777" w:rsidR="00CD66FD" w:rsidRPr="000D5077" w:rsidRDefault="00CD66FD" w:rsidP="00327FB6">
            <w:pPr>
              <w:jc w:val="center"/>
              <w:rPr>
                <w:bCs/>
              </w:rPr>
            </w:pPr>
            <w:r w:rsidRPr="000D5077">
              <w:rPr>
                <w:bCs/>
              </w:rPr>
              <w:t>Наименование возбудителя</w:t>
            </w:r>
          </w:p>
        </w:tc>
        <w:tc>
          <w:tcPr>
            <w:tcW w:w="1432" w:type="pct"/>
            <w:hideMark/>
          </w:tcPr>
          <w:p w14:paraId="4D0E20EC" w14:textId="77777777" w:rsidR="00CD66FD" w:rsidRPr="000D5077" w:rsidRDefault="00CD66FD" w:rsidP="00327FB6">
            <w:pPr>
              <w:jc w:val="center"/>
              <w:rPr>
                <w:bCs/>
              </w:rPr>
            </w:pPr>
            <w:r w:rsidRPr="000D5077">
              <w:rPr>
                <w:bCs/>
              </w:rPr>
              <w:t>Концентрация</w:t>
            </w:r>
          </w:p>
        </w:tc>
      </w:tr>
      <w:tr w:rsidR="00CD66FD" w:rsidRPr="00AE0BFB" w14:paraId="24D48831" w14:textId="77777777" w:rsidTr="00CD66FD">
        <w:trPr>
          <w:trHeight w:val="56"/>
        </w:trPr>
        <w:tc>
          <w:tcPr>
            <w:tcW w:w="3568" w:type="pct"/>
          </w:tcPr>
          <w:p w14:paraId="480392E7" w14:textId="77777777" w:rsidR="00CD66FD" w:rsidRPr="000D5077" w:rsidRDefault="00CD66FD" w:rsidP="00327FB6">
            <w:pPr>
              <w:rPr>
                <w:highlight w:val="yellow"/>
              </w:rPr>
            </w:pPr>
            <w:r w:rsidRPr="000D5077">
              <w:t xml:space="preserve">Вирус </w:t>
            </w:r>
            <w:proofErr w:type="spellStart"/>
            <w:r w:rsidRPr="000D5077">
              <w:t>парагриппа</w:t>
            </w:r>
            <w:proofErr w:type="spellEnd"/>
            <w:r w:rsidRPr="000D5077">
              <w:t xml:space="preserve"> 2 типа (</w:t>
            </w:r>
            <w:r w:rsidRPr="000D5077">
              <w:rPr>
                <w:lang w:val="en-US"/>
              </w:rPr>
              <w:t>human</w:t>
            </w:r>
            <w:r w:rsidRPr="000D5077">
              <w:t xml:space="preserve"> </w:t>
            </w:r>
            <w:r w:rsidRPr="000D5077">
              <w:rPr>
                <w:lang w:val="en-US"/>
              </w:rPr>
              <w:t>Parainfluenza</w:t>
            </w:r>
            <w:r w:rsidRPr="000D5077">
              <w:t xml:space="preserve"> </w:t>
            </w:r>
            <w:r w:rsidRPr="000D5077">
              <w:rPr>
                <w:lang w:val="en-US"/>
              </w:rPr>
              <w:t>virus</w:t>
            </w:r>
            <w:r w:rsidRPr="000D5077">
              <w:t>)</w:t>
            </w:r>
          </w:p>
        </w:tc>
        <w:tc>
          <w:tcPr>
            <w:tcW w:w="1432" w:type="pct"/>
          </w:tcPr>
          <w:p w14:paraId="4C279038" w14:textId="77777777" w:rsidR="00CD66FD" w:rsidRPr="000D5077" w:rsidRDefault="00CD66FD" w:rsidP="00327FB6">
            <w:pPr>
              <w:jc w:val="center"/>
            </w:pPr>
            <w:r w:rsidRPr="000D5077">
              <w:t>Клинический образец</w:t>
            </w:r>
          </w:p>
        </w:tc>
      </w:tr>
      <w:tr w:rsidR="00CD66FD" w:rsidRPr="00AE0BFB" w14:paraId="6A2DFE8C" w14:textId="77777777" w:rsidTr="00CD66FD">
        <w:trPr>
          <w:trHeight w:val="56"/>
        </w:trPr>
        <w:tc>
          <w:tcPr>
            <w:tcW w:w="3568" w:type="pct"/>
          </w:tcPr>
          <w:p w14:paraId="37C0CB86" w14:textId="77777777" w:rsidR="00CD66FD" w:rsidRPr="000D5077" w:rsidRDefault="00CD66FD" w:rsidP="00327FB6">
            <w:r w:rsidRPr="000D5077">
              <w:lastRenderedPageBreak/>
              <w:t xml:space="preserve">Вирус </w:t>
            </w:r>
            <w:proofErr w:type="spellStart"/>
            <w:r w:rsidRPr="000D5077">
              <w:t>парагриппа</w:t>
            </w:r>
            <w:proofErr w:type="spellEnd"/>
            <w:r w:rsidRPr="000D5077">
              <w:t xml:space="preserve"> 3 типа (</w:t>
            </w:r>
            <w:r w:rsidRPr="000D5077">
              <w:rPr>
                <w:lang w:val="en-US"/>
              </w:rPr>
              <w:t>human</w:t>
            </w:r>
            <w:r w:rsidRPr="000D5077">
              <w:t xml:space="preserve"> </w:t>
            </w:r>
            <w:r w:rsidRPr="000D5077">
              <w:rPr>
                <w:lang w:val="en-US"/>
              </w:rPr>
              <w:t>Parainfluenza</w:t>
            </w:r>
            <w:r w:rsidRPr="000D5077">
              <w:t xml:space="preserve"> </w:t>
            </w:r>
            <w:r w:rsidRPr="000D5077">
              <w:rPr>
                <w:lang w:val="en-US"/>
              </w:rPr>
              <w:t>virus</w:t>
            </w:r>
            <w:r w:rsidRPr="000D5077">
              <w:t>)</w:t>
            </w:r>
          </w:p>
        </w:tc>
        <w:tc>
          <w:tcPr>
            <w:tcW w:w="1432" w:type="pct"/>
          </w:tcPr>
          <w:p w14:paraId="7A4CAA4B" w14:textId="77777777" w:rsidR="00CD66FD" w:rsidRPr="000D5077" w:rsidRDefault="00CD66FD" w:rsidP="00327FB6">
            <w:pPr>
              <w:jc w:val="center"/>
            </w:pPr>
            <w:r w:rsidRPr="000D5077">
              <w:t>Клинический образец</w:t>
            </w:r>
          </w:p>
        </w:tc>
      </w:tr>
      <w:tr w:rsidR="00CD66FD" w:rsidRPr="00AE0BFB" w14:paraId="754B63D2" w14:textId="77777777" w:rsidTr="00CD66FD">
        <w:trPr>
          <w:trHeight w:val="56"/>
        </w:trPr>
        <w:tc>
          <w:tcPr>
            <w:tcW w:w="3568" w:type="pct"/>
          </w:tcPr>
          <w:p w14:paraId="540CEE59" w14:textId="77777777" w:rsidR="00CD66FD" w:rsidRPr="000D5077" w:rsidRDefault="00CD66FD" w:rsidP="00327FB6">
            <w:r w:rsidRPr="000D5077">
              <w:t xml:space="preserve">Вирус </w:t>
            </w:r>
            <w:proofErr w:type="spellStart"/>
            <w:r w:rsidRPr="000D5077">
              <w:t>парагриппа</w:t>
            </w:r>
            <w:proofErr w:type="spellEnd"/>
            <w:r w:rsidRPr="000D5077">
              <w:t xml:space="preserve"> 4 типа (</w:t>
            </w:r>
            <w:proofErr w:type="spellStart"/>
            <w:r w:rsidRPr="000D5077">
              <w:t>human</w:t>
            </w:r>
            <w:proofErr w:type="spellEnd"/>
            <w:r w:rsidRPr="000D5077">
              <w:t xml:space="preserve"> </w:t>
            </w:r>
            <w:proofErr w:type="spellStart"/>
            <w:r w:rsidRPr="000D5077">
              <w:t>Parainfluenza</w:t>
            </w:r>
            <w:proofErr w:type="spellEnd"/>
            <w:r w:rsidRPr="000D5077">
              <w:t xml:space="preserve"> </w:t>
            </w:r>
            <w:proofErr w:type="spellStart"/>
            <w:r w:rsidRPr="000D5077">
              <w:t>virus</w:t>
            </w:r>
            <w:proofErr w:type="spellEnd"/>
            <w:r w:rsidRPr="000D5077">
              <w:t>)</w:t>
            </w:r>
          </w:p>
        </w:tc>
        <w:tc>
          <w:tcPr>
            <w:tcW w:w="1432" w:type="pct"/>
          </w:tcPr>
          <w:p w14:paraId="0F20B84F" w14:textId="77777777" w:rsidR="00CD66FD" w:rsidRPr="000D5077" w:rsidRDefault="00CD66FD" w:rsidP="00327FB6">
            <w:pPr>
              <w:jc w:val="center"/>
            </w:pPr>
            <w:r w:rsidRPr="000D5077">
              <w:t>Клинический образец</w:t>
            </w:r>
          </w:p>
        </w:tc>
      </w:tr>
      <w:tr w:rsidR="00CD66FD" w:rsidRPr="00AE0BFB" w14:paraId="5D52128D" w14:textId="77777777" w:rsidTr="00CD66FD">
        <w:trPr>
          <w:trHeight w:val="56"/>
        </w:trPr>
        <w:tc>
          <w:tcPr>
            <w:tcW w:w="3568" w:type="pct"/>
          </w:tcPr>
          <w:p w14:paraId="301FF4CD" w14:textId="77777777" w:rsidR="00CD66FD" w:rsidRPr="000D5077" w:rsidRDefault="00CD66FD" w:rsidP="00327FB6">
            <w:proofErr w:type="spellStart"/>
            <w:r w:rsidRPr="000D5077">
              <w:t>Коронавирусы</w:t>
            </w:r>
            <w:proofErr w:type="spellEnd"/>
            <w:r w:rsidRPr="000D5077">
              <w:t xml:space="preserve"> </w:t>
            </w:r>
            <w:r w:rsidRPr="000D5077">
              <w:rPr>
                <w:lang w:bidi="en-US"/>
              </w:rPr>
              <w:t>NL</w:t>
            </w:r>
            <w:r w:rsidRPr="000D5077">
              <w:t>-63/229</w:t>
            </w:r>
            <w:r w:rsidRPr="000D5077">
              <w:rPr>
                <w:lang w:bidi="en-US"/>
              </w:rPr>
              <w:t>E</w:t>
            </w:r>
            <w:r w:rsidRPr="000D5077">
              <w:t xml:space="preserve">, </w:t>
            </w:r>
            <w:r w:rsidRPr="000D5077">
              <w:rPr>
                <w:lang w:bidi="en-US"/>
              </w:rPr>
              <w:t>HKU</w:t>
            </w:r>
            <w:r w:rsidRPr="000D5077">
              <w:t>-1/</w:t>
            </w:r>
            <w:r w:rsidRPr="000D5077">
              <w:rPr>
                <w:lang w:bidi="en-US"/>
              </w:rPr>
              <w:t>OC</w:t>
            </w:r>
            <w:r w:rsidRPr="000D5077">
              <w:t xml:space="preserve"> 43 (</w:t>
            </w:r>
            <w:proofErr w:type="spellStart"/>
            <w:r w:rsidRPr="000D5077">
              <w:rPr>
                <w:lang w:bidi="en-US"/>
              </w:rPr>
              <w:t>human</w:t>
            </w:r>
            <w:proofErr w:type="spellEnd"/>
            <w:r w:rsidRPr="000D5077">
              <w:t xml:space="preserve"> </w:t>
            </w:r>
            <w:proofErr w:type="spellStart"/>
            <w:r w:rsidRPr="000D5077">
              <w:rPr>
                <w:lang w:bidi="en-US"/>
              </w:rPr>
              <w:t>Coronavirus</w:t>
            </w:r>
            <w:proofErr w:type="spellEnd"/>
            <w:r w:rsidRPr="000D5077">
              <w:t>)</w:t>
            </w:r>
          </w:p>
        </w:tc>
        <w:tc>
          <w:tcPr>
            <w:tcW w:w="1432" w:type="pct"/>
          </w:tcPr>
          <w:p w14:paraId="54FF32F0" w14:textId="77777777" w:rsidR="00CD66FD" w:rsidRPr="000D5077" w:rsidRDefault="00CD66FD" w:rsidP="00327FB6">
            <w:pPr>
              <w:jc w:val="center"/>
            </w:pPr>
            <w:r w:rsidRPr="000D5077">
              <w:t>Клинический образец</w:t>
            </w:r>
          </w:p>
        </w:tc>
      </w:tr>
      <w:tr w:rsidR="00CD66FD" w:rsidRPr="00AE0BFB" w14:paraId="79EA3A46" w14:textId="77777777" w:rsidTr="00CD66FD">
        <w:trPr>
          <w:trHeight w:val="56"/>
        </w:trPr>
        <w:tc>
          <w:tcPr>
            <w:tcW w:w="3568" w:type="pct"/>
          </w:tcPr>
          <w:p w14:paraId="511DB20A" w14:textId="77777777" w:rsidR="00CD66FD" w:rsidRPr="000D5077" w:rsidRDefault="00CD66FD" w:rsidP="00327FB6">
            <w:proofErr w:type="spellStart"/>
            <w:r w:rsidRPr="000D5077">
              <w:t>Бокавирус</w:t>
            </w:r>
            <w:proofErr w:type="spellEnd"/>
            <w:r w:rsidRPr="000D5077">
              <w:t xml:space="preserve"> (</w:t>
            </w:r>
            <w:proofErr w:type="spellStart"/>
            <w:r w:rsidRPr="000D5077">
              <w:t>human</w:t>
            </w:r>
            <w:proofErr w:type="spellEnd"/>
            <w:r w:rsidRPr="000D5077">
              <w:t xml:space="preserve"> </w:t>
            </w:r>
            <w:proofErr w:type="spellStart"/>
            <w:r w:rsidRPr="000D5077">
              <w:t>Bocavirus</w:t>
            </w:r>
            <w:proofErr w:type="spellEnd"/>
            <w:r w:rsidRPr="000D5077">
              <w:t>)</w:t>
            </w:r>
          </w:p>
        </w:tc>
        <w:tc>
          <w:tcPr>
            <w:tcW w:w="1432" w:type="pct"/>
          </w:tcPr>
          <w:p w14:paraId="7B43FA67" w14:textId="77777777" w:rsidR="00CD66FD" w:rsidRPr="000D5077" w:rsidRDefault="00CD66FD" w:rsidP="00327FB6">
            <w:pPr>
              <w:jc w:val="center"/>
            </w:pPr>
            <w:r w:rsidRPr="000D5077">
              <w:t>Клинический образец</w:t>
            </w:r>
          </w:p>
        </w:tc>
      </w:tr>
      <w:tr w:rsidR="00CD66FD" w:rsidRPr="00AE0BFB" w14:paraId="3C5B2270" w14:textId="77777777" w:rsidTr="00CD66FD">
        <w:trPr>
          <w:trHeight w:val="56"/>
        </w:trPr>
        <w:tc>
          <w:tcPr>
            <w:tcW w:w="3568" w:type="pct"/>
          </w:tcPr>
          <w:p w14:paraId="5AE3CC5F" w14:textId="77777777" w:rsidR="00CD66FD" w:rsidRPr="000D5077" w:rsidRDefault="00CD66FD" w:rsidP="00327FB6">
            <w:proofErr w:type="spellStart"/>
            <w:r w:rsidRPr="000D5077">
              <w:t>Риновирус</w:t>
            </w:r>
            <w:proofErr w:type="spellEnd"/>
          </w:p>
        </w:tc>
        <w:tc>
          <w:tcPr>
            <w:tcW w:w="1432" w:type="pct"/>
          </w:tcPr>
          <w:p w14:paraId="70245198" w14:textId="77777777" w:rsidR="00CD66FD" w:rsidRPr="000D5077" w:rsidRDefault="00CD66FD" w:rsidP="00327FB6">
            <w:pPr>
              <w:jc w:val="center"/>
            </w:pPr>
            <w:r w:rsidRPr="000D5077">
              <w:t>Клинический образец</w:t>
            </w:r>
          </w:p>
        </w:tc>
      </w:tr>
      <w:tr w:rsidR="00CD66FD" w:rsidRPr="00AE0BFB" w14:paraId="48E3F683" w14:textId="77777777" w:rsidTr="00CD66FD">
        <w:trPr>
          <w:trHeight w:val="56"/>
        </w:trPr>
        <w:tc>
          <w:tcPr>
            <w:tcW w:w="3568" w:type="pct"/>
          </w:tcPr>
          <w:p w14:paraId="65B80BC8" w14:textId="77777777" w:rsidR="00CD66FD" w:rsidRPr="000D5077" w:rsidRDefault="00CD66FD" w:rsidP="00327FB6">
            <w:r w:rsidRPr="000D5077">
              <w:t>Аденовирус</w:t>
            </w:r>
          </w:p>
        </w:tc>
        <w:tc>
          <w:tcPr>
            <w:tcW w:w="1432" w:type="pct"/>
          </w:tcPr>
          <w:p w14:paraId="60A8DAEF" w14:textId="77777777" w:rsidR="00CD66FD" w:rsidRPr="000D5077" w:rsidRDefault="00CD66FD" w:rsidP="00327FB6">
            <w:pPr>
              <w:jc w:val="center"/>
            </w:pPr>
            <w:r w:rsidRPr="000D5077">
              <w:t>Клинический образец</w:t>
            </w:r>
          </w:p>
        </w:tc>
      </w:tr>
      <w:tr w:rsidR="00F15015" w:rsidRPr="00AE0BFB" w14:paraId="53884267" w14:textId="77777777" w:rsidTr="00CD66FD">
        <w:trPr>
          <w:trHeight w:val="56"/>
        </w:trPr>
        <w:tc>
          <w:tcPr>
            <w:tcW w:w="3568" w:type="pct"/>
          </w:tcPr>
          <w:p w14:paraId="657E95B9" w14:textId="1ECE0F18" w:rsidR="00F15015" w:rsidRPr="000D5077" w:rsidRDefault="00F15015" w:rsidP="00F15015">
            <w:proofErr w:type="spellStart"/>
            <w:r w:rsidRPr="000D5077">
              <w:t>Метапневмовирус</w:t>
            </w:r>
            <w:proofErr w:type="spellEnd"/>
          </w:p>
        </w:tc>
        <w:tc>
          <w:tcPr>
            <w:tcW w:w="1432" w:type="pct"/>
          </w:tcPr>
          <w:p w14:paraId="4442D8E9" w14:textId="4CD6CFC7" w:rsidR="00F15015" w:rsidRPr="000D5077" w:rsidRDefault="00F15015" w:rsidP="00F15015">
            <w:pPr>
              <w:jc w:val="center"/>
            </w:pPr>
            <w:r w:rsidRPr="000D5077">
              <w:t>Клинический образец</w:t>
            </w:r>
          </w:p>
        </w:tc>
      </w:tr>
      <w:tr w:rsidR="00F15015" w:rsidRPr="00AE0BFB" w14:paraId="2EBDA969" w14:textId="77777777" w:rsidTr="00CD66FD">
        <w:trPr>
          <w:trHeight w:val="56"/>
        </w:trPr>
        <w:tc>
          <w:tcPr>
            <w:tcW w:w="3568" w:type="pct"/>
          </w:tcPr>
          <w:p w14:paraId="15D80A0B" w14:textId="5AA128E3" w:rsidR="00F15015" w:rsidRPr="000D5077" w:rsidRDefault="00F15015" w:rsidP="00F15015">
            <w:r w:rsidRPr="000D5077">
              <w:t>Респираторно-синцитиальный вирус</w:t>
            </w:r>
          </w:p>
        </w:tc>
        <w:tc>
          <w:tcPr>
            <w:tcW w:w="1432" w:type="pct"/>
          </w:tcPr>
          <w:p w14:paraId="1C060A16" w14:textId="4D91DA25" w:rsidR="00F15015" w:rsidRPr="000D5077" w:rsidRDefault="00F15015" w:rsidP="00F15015">
            <w:pPr>
              <w:jc w:val="center"/>
            </w:pPr>
            <w:r w:rsidRPr="000D5077">
              <w:t>Клинический образец</w:t>
            </w:r>
          </w:p>
        </w:tc>
      </w:tr>
    </w:tbl>
    <w:p w14:paraId="3F875AB4" w14:textId="46AF883A" w:rsidR="003D1718" w:rsidRDefault="003D1718" w:rsidP="00295FE0">
      <w:pPr>
        <w:ind w:left="16" w:right="43"/>
        <w:jc w:val="both"/>
      </w:pPr>
    </w:p>
    <w:p w14:paraId="5709F4EE" w14:textId="4DC7B3A3" w:rsidR="003D1718" w:rsidRPr="003D1718" w:rsidRDefault="003D1718" w:rsidP="00295FE0">
      <w:pPr>
        <w:ind w:left="16" w:right="43"/>
        <w:jc w:val="both"/>
        <w:rPr>
          <w:b/>
          <w:bCs/>
        </w:rPr>
      </w:pPr>
      <w:r w:rsidRPr="003D1718">
        <w:rPr>
          <w:b/>
          <w:bCs/>
        </w:rPr>
        <w:t>Интерференция</w:t>
      </w:r>
    </w:p>
    <w:p w14:paraId="4A0E358A" w14:textId="38882AAA" w:rsidR="00A652E3" w:rsidRDefault="00B04806" w:rsidP="00295FE0">
      <w:pPr>
        <w:ind w:left="16" w:right="43"/>
        <w:jc w:val="both"/>
      </w:pPr>
      <w:r>
        <w:t xml:space="preserve">По данным производителя, на результаты работы набора реагентов </w:t>
      </w:r>
      <w:r w:rsidR="00F25E04" w:rsidRPr="00F25E04">
        <w:t xml:space="preserve">«WANTAI SARS-CoV-2 </w:t>
      </w:r>
      <w:proofErr w:type="spellStart"/>
      <w:r w:rsidR="00F25E04" w:rsidRPr="00F25E04">
        <w:t>Ag</w:t>
      </w:r>
      <w:proofErr w:type="spellEnd"/>
      <w:r w:rsidR="00F25E04" w:rsidRPr="00F25E04">
        <w:t xml:space="preserve"> </w:t>
      </w:r>
      <w:proofErr w:type="spellStart"/>
      <w:r w:rsidR="00F25E04" w:rsidRPr="00F25E04">
        <w:t>Rapid</w:t>
      </w:r>
      <w:proofErr w:type="spellEnd"/>
      <w:r w:rsidR="00F25E04" w:rsidRPr="00F25E04">
        <w:t xml:space="preserve"> </w:t>
      </w:r>
      <w:proofErr w:type="spellStart"/>
      <w:r w:rsidR="00F25E04" w:rsidRPr="00F25E04">
        <w:t>Test</w:t>
      </w:r>
      <w:proofErr w:type="spellEnd"/>
      <w:r w:rsidR="00F25E04" w:rsidRPr="00F25E04">
        <w:t xml:space="preserve"> (</w:t>
      </w:r>
      <w:proofErr w:type="spellStart"/>
      <w:r w:rsidR="00F25E04" w:rsidRPr="00F25E04">
        <w:t>Colloidal</w:t>
      </w:r>
      <w:proofErr w:type="spellEnd"/>
      <w:r w:rsidR="00F25E04" w:rsidRPr="00F25E04">
        <w:t xml:space="preserve"> </w:t>
      </w:r>
      <w:proofErr w:type="spellStart"/>
      <w:r w:rsidR="00F25E04" w:rsidRPr="00F25E04">
        <w:t>Gold</w:t>
      </w:r>
      <w:proofErr w:type="spellEnd"/>
      <w:r w:rsidR="00F25E04" w:rsidRPr="00F25E04">
        <w:t xml:space="preserve">)» </w:t>
      </w:r>
      <w:r>
        <w:t>не оказывают влияния следующие субстанции</w:t>
      </w:r>
      <w:r w:rsidR="00F25E04">
        <w:t xml:space="preserve">: цельная кровь (2% об/об), муцин (1 мг/мл), </w:t>
      </w:r>
      <w:r w:rsidR="004E1F9B">
        <w:t xml:space="preserve">гемоглобин (100 мг/л), билирубин (0,68 </w:t>
      </w:r>
      <w:proofErr w:type="spellStart"/>
      <w:r w:rsidR="004E1F9B">
        <w:t>ммоль</w:t>
      </w:r>
      <w:proofErr w:type="spellEnd"/>
      <w:r w:rsidR="004E1F9B">
        <w:t xml:space="preserve">/л), </w:t>
      </w:r>
      <w:r w:rsidR="005550CD">
        <w:t xml:space="preserve">триглицериды (13 </w:t>
      </w:r>
      <w:proofErr w:type="spellStart"/>
      <w:r w:rsidR="005550CD">
        <w:t>ммоль</w:t>
      </w:r>
      <w:proofErr w:type="spellEnd"/>
      <w:r w:rsidR="005550CD">
        <w:t xml:space="preserve">/л), ревматоидный фактор (70 МЕ/мл), </w:t>
      </w:r>
      <w:proofErr w:type="spellStart"/>
      <w:r w:rsidR="005550CD">
        <w:t>азитромицин</w:t>
      </w:r>
      <w:proofErr w:type="spellEnd"/>
      <w:r w:rsidR="005550CD">
        <w:t xml:space="preserve"> (500 мкг/мл), </w:t>
      </w:r>
      <w:proofErr w:type="spellStart"/>
      <w:r w:rsidR="005550CD">
        <w:t>цефиксим</w:t>
      </w:r>
      <w:proofErr w:type="spellEnd"/>
      <w:r w:rsidR="005550CD">
        <w:t xml:space="preserve"> (50 мкг/мл), </w:t>
      </w:r>
      <w:r w:rsidR="007E1ABE">
        <w:t xml:space="preserve">аспирин (0,15 мг/мл), ментол (1 мг/мл), </w:t>
      </w:r>
      <w:r w:rsidR="00D14236">
        <w:t xml:space="preserve">жевательная резинка (5 мг/мл), </w:t>
      </w:r>
      <w:r w:rsidR="00DA626C">
        <w:t>леденцы от кашля (лимонно-мятные) (</w:t>
      </w:r>
      <w:proofErr w:type="spellStart"/>
      <w:r w:rsidR="00DA626C">
        <w:rPr>
          <w:lang w:val="en-US"/>
        </w:rPr>
        <w:t>Ricola</w:t>
      </w:r>
      <w:proofErr w:type="spellEnd"/>
      <w:r w:rsidR="00DA626C" w:rsidRPr="00DA626C">
        <w:t xml:space="preserve">) (10 </w:t>
      </w:r>
      <w:r w:rsidR="00DA626C">
        <w:t>мг/мл)</w:t>
      </w:r>
      <w:r w:rsidR="00DA626C" w:rsidRPr="00DA626C">
        <w:t xml:space="preserve">, </w:t>
      </w:r>
      <w:r w:rsidR="002818E4">
        <w:t>леденцы от кашля (</w:t>
      </w:r>
      <w:r w:rsidR="00AF6E52">
        <w:t>лесные цветы</w:t>
      </w:r>
      <w:r w:rsidR="002818E4">
        <w:t>) (</w:t>
      </w:r>
      <w:proofErr w:type="spellStart"/>
      <w:r w:rsidR="002818E4">
        <w:rPr>
          <w:lang w:val="en-US"/>
        </w:rPr>
        <w:t>Ricola</w:t>
      </w:r>
      <w:proofErr w:type="spellEnd"/>
      <w:r w:rsidR="002818E4" w:rsidRPr="00DA626C">
        <w:t xml:space="preserve">) (10 </w:t>
      </w:r>
      <w:r w:rsidR="002818E4">
        <w:t>мг/мл)</w:t>
      </w:r>
      <w:r w:rsidR="002818E4" w:rsidRPr="00DA626C">
        <w:t>,</w:t>
      </w:r>
      <w:r w:rsidR="002818E4">
        <w:t xml:space="preserve"> </w:t>
      </w:r>
      <w:proofErr w:type="spellStart"/>
      <w:r w:rsidR="00AF6E52">
        <w:t>флутиказона</w:t>
      </w:r>
      <w:proofErr w:type="spellEnd"/>
      <w:r w:rsidR="00AF6E52">
        <w:t xml:space="preserve"> </w:t>
      </w:r>
      <w:proofErr w:type="spellStart"/>
      <w:r w:rsidR="00AF6E52">
        <w:t>пропионат</w:t>
      </w:r>
      <w:proofErr w:type="spellEnd"/>
      <w:r w:rsidR="00AF6E52">
        <w:t xml:space="preserve"> (назальный спрей) </w:t>
      </w:r>
      <w:r w:rsidR="00F45382">
        <w:t>(0,11 мкг/мл), биотин (1 мг/мл).</w:t>
      </w:r>
    </w:p>
    <w:p w14:paraId="5AD98F14" w14:textId="6752CB81" w:rsidR="00F45382" w:rsidRDefault="00F45382" w:rsidP="00295FE0">
      <w:pPr>
        <w:ind w:left="16" w:right="43"/>
        <w:jc w:val="both"/>
      </w:pPr>
    </w:p>
    <w:p w14:paraId="34453FAB" w14:textId="1E3390D6" w:rsidR="00F45382" w:rsidRDefault="00F45382" w:rsidP="00945FAC">
      <w:pPr>
        <w:jc w:val="both"/>
      </w:pPr>
      <w:r w:rsidRPr="00125B16">
        <w:t xml:space="preserve">По данным клинических испытаний, проведенных на территории Российской Федерации, при использовании набора реагентов </w:t>
      </w:r>
      <w:r w:rsidR="00945FAC" w:rsidRPr="00945FAC">
        <w:t xml:space="preserve">«WANTAI SARS-CoV-2 </w:t>
      </w:r>
      <w:proofErr w:type="spellStart"/>
      <w:r w:rsidR="00945FAC" w:rsidRPr="00945FAC">
        <w:t>Ag</w:t>
      </w:r>
      <w:proofErr w:type="spellEnd"/>
      <w:r w:rsidR="00945FAC" w:rsidRPr="00945FAC">
        <w:t xml:space="preserve"> </w:t>
      </w:r>
      <w:proofErr w:type="spellStart"/>
      <w:r w:rsidR="00945FAC" w:rsidRPr="00945FAC">
        <w:t>Rapid</w:t>
      </w:r>
      <w:proofErr w:type="spellEnd"/>
      <w:r w:rsidR="00945FAC" w:rsidRPr="00945FAC">
        <w:t xml:space="preserve"> </w:t>
      </w:r>
      <w:proofErr w:type="spellStart"/>
      <w:r w:rsidR="00945FAC" w:rsidRPr="00945FAC">
        <w:t>Test</w:t>
      </w:r>
      <w:proofErr w:type="spellEnd"/>
      <w:r w:rsidR="00945FAC" w:rsidRPr="00945FAC">
        <w:t xml:space="preserve"> (</w:t>
      </w:r>
      <w:proofErr w:type="spellStart"/>
      <w:r w:rsidR="00945FAC" w:rsidRPr="00945FAC">
        <w:t>Colloidal</w:t>
      </w:r>
      <w:proofErr w:type="spellEnd"/>
      <w:r w:rsidR="00945FAC" w:rsidRPr="00945FAC">
        <w:t xml:space="preserve"> </w:t>
      </w:r>
      <w:proofErr w:type="spellStart"/>
      <w:r w:rsidR="00945FAC" w:rsidRPr="00945FAC">
        <w:t>Gold</w:t>
      </w:r>
      <w:proofErr w:type="spellEnd"/>
      <w:r w:rsidR="00945FAC" w:rsidRPr="00945FAC">
        <w:t>)»</w:t>
      </w:r>
      <w:r w:rsidR="00945FAC">
        <w:t xml:space="preserve"> </w:t>
      </w:r>
      <w:r w:rsidRPr="00125B16">
        <w:t>отсутствует интерферирующее влияние следующих веществ в указанной концентрации</w:t>
      </w:r>
      <w:r w:rsidR="00945FAC">
        <w:t xml:space="preserve"> (таблица 3)</w:t>
      </w:r>
      <w:r w:rsidRPr="00125B16">
        <w:t>:</w:t>
      </w:r>
    </w:p>
    <w:p w14:paraId="3B4828DA" w14:textId="77777777" w:rsidR="00945FAC" w:rsidRDefault="00945FAC" w:rsidP="00945FAC">
      <w:pPr>
        <w:jc w:val="both"/>
      </w:pPr>
    </w:p>
    <w:p w14:paraId="5FA856AA" w14:textId="29FDFD83" w:rsidR="00F45382" w:rsidRPr="00125B16" w:rsidRDefault="00945FAC" w:rsidP="00945FAC">
      <w:pPr>
        <w:jc w:val="both"/>
      </w:pPr>
      <w:r>
        <w:t>Таблица 3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57"/>
        <w:gridCol w:w="4088"/>
      </w:tblGrid>
      <w:tr w:rsidR="00F45382" w:rsidRPr="00945FAC" w14:paraId="4ECEEB5F" w14:textId="77777777" w:rsidTr="00F45382">
        <w:trPr>
          <w:trHeight w:val="33"/>
        </w:trPr>
        <w:tc>
          <w:tcPr>
            <w:tcW w:w="2813" w:type="pct"/>
            <w:hideMark/>
          </w:tcPr>
          <w:p w14:paraId="5811A5E7" w14:textId="77777777" w:rsidR="00F45382" w:rsidRPr="000D5077" w:rsidRDefault="00F45382" w:rsidP="00327FB6">
            <w:pPr>
              <w:jc w:val="center"/>
              <w:rPr>
                <w:bCs/>
              </w:rPr>
            </w:pPr>
            <w:r w:rsidRPr="000D5077">
              <w:rPr>
                <w:bCs/>
              </w:rPr>
              <w:t>Интерферирующее вещество</w:t>
            </w:r>
          </w:p>
        </w:tc>
        <w:tc>
          <w:tcPr>
            <w:tcW w:w="2187" w:type="pct"/>
            <w:hideMark/>
          </w:tcPr>
          <w:p w14:paraId="38166935" w14:textId="77777777" w:rsidR="00F45382" w:rsidRPr="000D5077" w:rsidRDefault="00F45382" w:rsidP="00327FB6">
            <w:pPr>
              <w:jc w:val="center"/>
              <w:rPr>
                <w:bCs/>
              </w:rPr>
            </w:pPr>
            <w:r w:rsidRPr="000D5077">
              <w:rPr>
                <w:bCs/>
              </w:rPr>
              <w:t>Концентрация</w:t>
            </w:r>
          </w:p>
        </w:tc>
      </w:tr>
      <w:tr w:rsidR="00F45382" w:rsidRPr="00945FAC" w14:paraId="3FCAEF72" w14:textId="77777777" w:rsidTr="00F45382">
        <w:trPr>
          <w:trHeight w:val="36"/>
        </w:trPr>
        <w:tc>
          <w:tcPr>
            <w:tcW w:w="2813" w:type="pct"/>
            <w:hideMark/>
          </w:tcPr>
          <w:p w14:paraId="73288289" w14:textId="77777777" w:rsidR="00F45382" w:rsidRPr="000D5077" w:rsidRDefault="00F45382" w:rsidP="00327FB6">
            <w:pPr>
              <w:ind w:left="166"/>
            </w:pPr>
            <w:proofErr w:type="spellStart"/>
            <w:r w:rsidRPr="000D5077">
              <w:t>Занамивир</w:t>
            </w:r>
            <w:proofErr w:type="spellEnd"/>
          </w:p>
        </w:tc>
        <w:tc>
          <w:tcPr>
            <w:tcW w:w="2187" w:type="pct"/>
            <w:hideMark/>
          </w:tcPr>
          <w:p w14:paraId="7424B89A" w14:textId="77777777" w:rsidR="00F45382" w:rsidRPr="000D5077" w:rsidRDefault="00F45382" w:rsidP="00327FB6">
            <w:pPr>
              <w:jc w:val="center"/>
            </w:pPr>
            <w:r w:rsidRPr="000D5077">
              <w:t>5 мг/мл</w:t>
            </w:r>
          </w:p>
        </w:tc>
      </w:tr>
      <w:tr w:rsidR="00F45382" w:rsidRPr="00945FAC" w14:paraId="0857BB29" w14:textId="77777777" w:rsidTr="00F45382">
        <w:trPr>
          <w:trHeight w:val="36"/>
        </w:trPr>
        <w:tc>
          <w:tcPr>
            <w:tcW w:w="2813" w:type="pct"/>
            <w:hideMark/>
          </w:tcPr>
          <w:p w14:paraId="6750B9DC" w14:textId="77777777" w:rsidR="00F45382" w:rsidRPr="000D5077" w:rsidRDefault="00F45382" w:rsidP="00327FB6">
            <w:pPr>
              <w:ind w:left="166"/>
            </w:pPr>
            <w:proofErr w:type="spellStart"/>
            <w:r w:rsidRPr="000D5077">
              <w:t>Фенилэфрин</w:t>
            </w:r>
            <w:proofErr w:type="spellEnd"/>
          </w:p>
        </w:tc>
        <w:tc>
          <w:tcPr>
            <w:tcW w:w="2187" w:type="pct"/>
            <w:hideMark/>
          </w:tcPr>
          <w:p w14:paraId="1EF717C6" w14:textId="77777777" w:rsidR="00F45382" w:rsidRPr="000D5077" w:rsidRDefault="00F45382" w:rsidP="00327FB6">
            <w:pPr>
              <w:jc w:val="center"/>
            </w:pPr>
            <w:r w:rsidRPr="000D5077">
              <w:t>10 мг/мл</w:t>
            </w:r>
          </w:p>
        </w:tc>
      </w:tr>
      <w:tr w:rsidR="00F45382" w:rsidRPr="00945FAC" w14:paraId="2E3841A9" w14:textId="77777777" w:rsidTr="00F45382">
        <w:trPr>
          <w:trHeight w:val="36"/>
        </w:trPr>
        <w:tc>
          <w:tcPr>
            <w:tcW w:w="2813" w:type="pct"/>
            <w:hideMark/>
          </w:tcPr>
          <w:p w14:paraId="28B3B829" w14:textId="77777777" w:rsidR="00F45382" w:rsidRPr="000D5077" w:rsidRDefault="00F45382" w:rsidP="00327FB6">
            <w:pPr>
              <w:ind w:left="166"/>
            </w:pPr>
            <w:proofErr w:type="spellStart"/>
            <w:r w:rsidRPr="000D5077">
              <w:t>Олопатадин</w:t>
            </w:r>
            <w:proofErr w:type="spellEnd"/>
          </w:p>
        </w:tc>
        <w:tc>
          <w:tcPr>
            <w:tcW w:w="2187" w:type="pct"/>
            <w:hideMark/>
          </w:tcPr>
          <w:p w14:paraId="11ACD371" w14:textId="77777777" w:rsidR="00F45382" w:rsidRPr="000D5077" w:rsidRDefault="00F45382" w:rsidP="00327FB6">
            <w:pPr>
              <w:jc w:val="center"/>
            </w:pPr>
            <w:r w:rsidRPr="000D5077">
              <w:t>100 мкг/мл</w:t>
            </w:r>
          </w:p>
        </w:tc>
      </w:tr>
      <w:tr w:rsidR="00F45382" w:rsidRPr="00945FAC" w14:paraId="4AB03DF2" w14:textId="77777777" w:rsidTr="00F45382">
        <w:trPr>
          <w:trHeight w:val="36"/>
        </w:trPr>
        <w:tc>
          <w:tcPr>
            <w:tcW w:w="2813" w:type="pct"/>
            <w:hideMark/>
          </w:tcPr>
          <w:p w14:paraId="3F3BBF4B" w14:textId="77777777" w:rsidR="00F45382" w:rsidRPr="000D5077" w:rsidRDefault="00F45382" w:rsidP="00327FB6">
            <w:pPr>
              <w:ind w:left="166"/>
            </w:pPr>
            <w:proofErr w:type="spellStart"/>
            <w:r w:rsidRPr="000D5077">
              <w:t>Тобрамицин</w:t>
            </w:r>
            <w:proofErr w:type="spellEnd"/>
          </w:p>
        </w:tc>
        <w:tc>
          <w:tcPr>
            <w:tcW w:w="2187" w:type="pct"/>
            <w:hideMark/>
          </w:tcPr>
          <w:p w14:paraId="72268459" w14:textId="77777777" w:rsidR="00F45382" w:rsidRPr="000D5077" w:rsidRDefault="00F45382" w:rsidP="00327FB6">
            <w:pPr>
              <w:jc w:val="center"/>
            </w:pPr>
            <w:r w:rsidRPr="000D5077">
              <w:t>130 мкг/мл</w:t>
            </w:r>
          </w:p>
        </w:tc>
      </w:tr>
      <w:tr w:rsidR="00F45382" w:rsidRPr="00945FAC" w14:paraId="24F6801B" w14:textId="77777777" w:rsidTr="00F45382">
        <w:trPr>
          <w:trHeight w:val="36"/>
        </w:trPr>
        <w:tc>
          <w:tcPr>
            <w:tcW w:w="2813" w:type="pct"/>
            <w:hideMark/>
          </w:tcPr>
          <w:p w14:paraId="6645513E" w14:textId="77777777" w:rsidR="00F45382" w:rsidRPr="000D5077" w:rsidRDefault="00F45382" w:rsidP="00327FB6">
            <w:pPr>
              <w:ind w:left="166"/>
            </w:pPr>
            <w:proofErr w:type="spellStart"/>
            <w:r w:rsidRPr="000D5077">
              <w:t>Оксиметазолин</w:t>
            </w:r>
            <w:proofErr w:type="spellEnd"/>
          </w:p>
        </w:tc>
        <w:tc>
          <w:tcPr>
            <w:tcW w:w="2187" w:type="pct"/>
            <w:hideMark/>
          </w:tcPr>
          <w:p w14:paraId="0C4A99AF" w14:textId="77777777" w:rsidR="00F45382" w:rsidRPr="000D5077" w:rsidRDefault="00F45382" w:rsidP="00327FB6">
            <w:pPr>
              <w:jc w:val="center"/>
            </w:pPr>
            <w:r w:rsidRPr="000D5077">
              <w:t>15% (об./об.)</w:t>
            </w:r>
          </w:p>
        </w:tc>
      </w:tr>
      <w:tr w:rsidR="00F45382" w:rsidRPr="00945FAC" w14:paraId="1B8EC896" w14:textId="77777777" w:rsidTr="00F45382">
        <w:trPr>
          <w:trHeight w:val="36"/>
        </w:trPr>
        <w:tc>
          <w:tcPr>
            <w:tcW w:w="2813" w:type="pct"/>
            <w:hideMark/>
          </w:tcPr>
          <w:p w14:paraId="1F9D41C2" w14:textId="77777777" w:rsidR="00F45382" w:rsidRPr="000D5077" w:rsidRDefault="00F45382" w:rsidP="00327FB6">
            <w:pPr>
              <w:ind w:left="166"/>
            </w:pPr>
            <w:proofErr w:type="spellStart"/>
            <w:r w:rsidRPr="000D5077">
              <w:t>Будесонид</w:t>
            </w:r>
            <w:proofErr w:type="spellEnd"/>
          </w:p>
        </w:tc>
        <w:tc>
          <w:tcPr>
            <w:tcW w:w="2187" w:type="pct"/>
            <w:hideMark/>
          </w:tcPr>
          <w:p w14:paraId="6EF080EC" w14:textId="77777777" w:rsidR="00F45382" w:rsidRPr="000D5077" w:rsidRDefault="00F45382" w:rsidP="00327FB6">
            <w:pPr>
              <w:jc w:val="center"/>
            </w:pPr>
            <w:r w:rsidRPr="000D5077">
              <w:t>15% (об./об.)</w:t>
            </w:r>
          </w:p>
        </w:tc>
      </w:tr>
      <w:tr w:rsidR="00F45382" w:rsidRPr="00945FAC" w14:paraId="5AC29B47" w14:textId="77777777" w:rsidTr="00F45382">
        <w:trPr>
          <w:trHeight w:val="36"/>
        </w:trPr>
        <w:tc>
          <w:tcPr>
            <w:tcW w:w="2813" w:type="pct"/>
            <w:hideMark/>
          </w:tcPr>
          <w:p w14:paraId="4FB1D6DE" w14:textId="77777777" w:rsidR="00F45382" w:rsidRPr="000D5077" w:rsidRDefault="00F45382" w:rsidP="00327FB6">
            <w:pPr>
              <w:ind w:left="166"/>
            </w:pPr>
            <w:r w:rsidRPr="000D5077">
              <w:t>Водный раствор рапы (озерной соли) 0,9%</w:t>
            </w:r>
          </w:p>
        </w:tc>
        <w:tc>
          <w:tcPr>
            <w:tcW w:w="2187" w:type="pct"/>
            <w:hideMark/>
          </w:tcPr>
          <w:p w14:paraId="748CDB36" w14:textId="77777777" w:rsidR="00F45382" w:rsidRPr="000D5077" w:rsidRDefault="00F45382" w:rsidP="00327FB6">
            <w:pPr>
              <w:jc w:val="center"/>
            </w:pPr>
            <w:r w:rsidRPr="000D5077">
              <w:t>10% (об./об.)</w:t>
            </w:r>
          </w:p>
        </w:tc>
      </w:tr>
      <w:tr w:rsidR="00F45382" w:rsidRPr="00945FAC" w14:paraId="77C2B85D" w14:textId="77777777" w:rsidTr="00F45382">
        <w:trPr>
          <w:trHeight w:val="36"/>
        </w:trPr>
        <w:tc>
          <w:tcPr>
            <w:tcW w:w="2813" w:type="pct"/>
            <w:hideMark/>
          </w:tcPr>
          <w:p w14:paraId="76CBEBF3" w14:textId="77777777" w:rsidR="00F45382" w:rsidRPr="000D5077" w:rsidRDefault="00F45382" w:rsidP="00327FB6">
            <w:pPr>
              <w:ind w:left="166"/>
            </w:pPr>
            <w:r w:rsidRPr="000D5077">
              <w:t>Гемоглобин (цельная кровь)</w:t>
            </w:r>
          </w:p>
        </w:tc>
        <w:tc>
          <w:tcPr>
            <w:tcW w:w="2187" w:type="pct"/>
            <w:hideMark/>
          </w:tcPr>
          <w:p w14:paraId="0827BE78" w14:textId="77777777" w:rsidR="00F45382" w:rsidRPr="000D5077" w:rsidRDefault="00F45382" w:rsidP="00327FB6">
            <w:pPr>
              <w:jc w:val="center"/>
            </w:pPr>
            <w:r w:rsidRPr="000D5077">
              <w:t>5% (об./об.)</w:t>
            </w:r>
          </w:p>
        </w:tc>
      </w:tr>
      <w:tr w:rsidR="00F45382" w:rsidRPr="00945FAC" w14:paraId="716A5D9D" w14:textId="77777777" w:rsidTr="00F45382">
        <w:trPr>
          <w:trHeight w:val="36"/>
        </w:trPr>
        <w:tc>
          <w:tcPr>
            <w:tcW w:w="2813" w:type="pct"/>
            <w:hideMark/>
          </w:tcPr>
          <w:p w14:paraId="0427BF86" w14:textId="77777777" w:rsidR="00F45382" w:rsidRPr="000D5077" w:rsidRDefault="00F45382" w:rsidP="00327FB6">
            <w:pPr>
              <w:ind w:left="166"/>
            </w:pPr>
            <w:r w:rsidRPr="000D5077">
              <w:t>Муцин</w:t>
            </w:r>
          </w:p>
        </w:tc>
        <w:tc>
          <w:tcPr>
            <w:tcW w:w="2187" w:type="pct"/>
            <w:hideMark/>
          </w:tcPr>
          <w:p w14:paraId="03EB355A" w14:textId="77777777" w:rsidR="00F45382" w:rsidRPr="000D5077" w:rsidRDefault="00F45382" w:rsidP="00327FB6">
            <w:pPr>
              <w:jc w:val="center"/>
            </w:pPr>
            <w:r w:rsidRPr="000D5077">
              <w:t>5% (об./об.)</w:t>
            </w:r>
          </w:p>
        </w:tc>
      </w:tr>
    </w:tbl>
    <w:p w14:paraId="5F166CBD" w14:textId="77777777" w:rsidR="00395B9D" w:rsidRPr="00395B9D" w:rsidRDefault="00395B9D" w:rsidP="00295FE0">
      <w:pPr>
        <w:ind w:left="-5" w:right="24"/>
        <w:jc w:val="both"/>
        <w:rPr>
          <w:bCs/>
        </w:rPr>
      </w:pPr>
    </w:p>
    <w:p w14:paraId="4165C071" w14:textId="5D9603A3" w:rsidR="005D31F1" w:rsidRDefault="00295FE0" w:rsidP="00295FE0">
      <w:pPr>
        <w:ind w:left="-5" w:right="24"/>
        <w:jc w:val="both"/>
      </w:pPr>
      <w:proofErr w:type="spellStart"/>
      <w:r w:rsidRPr="00B91B74">
        <w:rPr>
          <w:b/>
        </w:rPr>
        <w:t>Прецизионность</w:t>
      </w:r>
      <w:proofErr w:type="spellEnd"/>
    </w:p>
    <w:p w14:paraId="791CE27C" w14:textId="73D4132B" w:rsidR="00295FE0" w:rsidRPr="00B91B74" w:rsidRDefault="00CD674C" w:rsidP="00295FE0">
      <w:pPr>
        <w:ind w:left="-5" w:right="24"/>
        <w:jc w:val="both"/>
        <w:rPr>
          <w:sz w:val="22"/>
          <w:szCs w:val="22"/>
        </w:rPr>
      </w:pPr>
      <w:r>
        <w:t>Изготовителем б</w:t>
      </w:r>
      <w:r w:rsidR="00295FE0" w:rsidRPr="00B91B74">
        <w:t xml:space="preserve">ыли протестированы два </w:t>
      </w:r>
      <w:r w:rsidR="000D0258">
        <w:t xml:space="preserve">производственных </w:t>
      </w:r>
      <w:r w:rsidR="00295FE0" w:rsidRPr="00B91B74">
        <w:t xml:space="preserve">эталонных образца </w:t>
      </w:r>
      <w:proofErr w:type="spellStart"/>
      <w:r w:rsidR="00295FE0" w:rsidRPr="00B91B74">
        <w:t>воспроизводимости</w:t>
      </w:r>
      <w:proofErr w:type="spellEnd"/>
      <w:r w:rsidR="00295FE0" w:rsidRPr="00B91B74">
        <w:t xml:space="preserve"> CV1 ~ CV2, все результаты были </w:t>
      </w:r>
      <w:r w:rsidR="00945FAC">
        <w:t xml:space="preserve">правильно </w:t>
      </w:r>
      <w:r w:rsidR="00295FE0" w:rsidRPr="00B91B74">
        <w:t xml:space="preserve">окрашены, а интенсивность цвета была одинаковой. CV1 ~ CV2 тестировались в течение дня, между днями, разными операторами и в разных местах, все результаты были </w:t>
      </w:r>
      <w:r w:rsidR="00945FAC">
        <w:t xml:space="preserve">правильно </w:t>
      </w:r>
      <w:r w:rsidR="00295FE0" w:rsidRPr="00B91B74">
        <w:t>окрашены, а интенсивность цвета была одинаковой.</w:t>
      </w:r>
    </w:p>
    <w:p w14:paraId="525BB9DB" w14:textId="23F5F860" w:rsidR="00295FE0" w:rsidRDefault="00295FE0" w:rsidP="00605254">
      <w:pPr>
        <w:ind w:left="16" w:right="43"/>
        <w:jc w:val="both"/>
        <w:rPr>
          <w:bCs/>
        </w:rPr>
      </w:pPr>
    </w:p>
    <w:p w14:paraId="0DD0CA13" w14:textId="77777777" w:rsidR="000D0258" w:rsidRPr="000D0258" w:rsidRDefault="000D0258" w:rsidP="000D0258">
      <w:pPr>
        <w:tabs>
          <w:tab w:val="left" w:pos="284"/>
        </w:tabs>
        <w:jc w:val="both"/>
        <w:rPr>
          <w:b/>
          <w:bCs/>
        </w:rPr>
      </w:pPr>
      <w:r w:rsidRPr="000D0258">
        <w:rPr>
          <w:b/>
          <w:bCs/>
        </w:rPr>
        <w:t>Эффект высокой дозы («хук»-эффект)</w:t>
      </w:r>
    </w:p>
    <w:p w14:paraId="2E465158" w14:textId="70614F43" w:rsidR="00295FE0" w:rsidRDefault="000D0258" w:rsidP="000D0258">
      <w:pPr>
        <w:ind w:left="16" w:right="43"/>
        <w:jc w:val="both"/>
        <w:rPr>
          <w:bCs/>
        </w:rPr>
      </w:pPr>
      <w:r w:rsidRPr="000A1430">
        <w:t xml:space="preserve">При проведении клинических испытаний </w:t>
      </w:r>
      <w:r>
        <w:t>н</w:t>
      </w:r>
      <w:r w:rsidRPr="00D90587">
        <w:t>абор</w:t>
      </w:r>
      <w:r>
        <w:t>а</w:t>
      </w:r>
      <w:r w:rsidRPr="00D90587">
        <w:t xml:space="preserve"> реагентов </w:t>
      </w:r>
      <w:r w:rsidR="000909A5" w:rsidRPr="00945FAC">
        <w:t xml:space="preserve">«WANTAI SARS-CoV-2 </w:t>
      </w:r>
      <w:proofErr w:type="spellStart"/>
      <w:r w:rsidR="000909A5" w:rsidRPr="00945FAC">
        <w:t>Ag</w:t>
      </w:r>
      <w:proofErr w:type="spellEnd"/>
      <w:r w:rsidR="000909A5" w:rsidRPr="00945FAC">
        <w:t xml:space="preserve"> </w:t>
      </w:r>
      <w:proofErr w:type="spellStart"/>
      <w:r w:rsidR="000909A5" w:rsidRPr="00945FAC">
        <w:t>Rapid</w:t>
      </w:r>
      <w:proofErr w:type="spellEnd"/>
      <w:r w:rsidR="000909A5" w:rsidRPr="00945FAC">
        <w:t xml:space="preserve"> </w:t>
      </w:r>
      <w:proofErr w:type="spellStart"/>
      <w:r w:rsidR="000909A5" w:rsidRPr="00945FAC">
        <w:t>Test</w:t>
      </w:r>
      <w:proofErr w:type="spellEnd"/>
      <w:r w:rsidR="000909A5" w:rsidRPr="00945FAC">
        <w:t xml:space="preserve"> (</w:t>
      </w:r>
      <w:proofErr w:type="spellStart"/>
      <w:r w:rsidR="000909A5" w:rsidRPr="00945FAC">
        <w:t>Colloidal</w:t>
      </w:r>
      <w:proofErr w:type="spellEnd"/>
      <w:r w:rsidR="000909A5" w:rsidRPr="00945FAC">
        <w:t xml:space="preserve"> </w:t>
      </w:r>
      <w:proofErr w:type="spellStart"/>
      <w:r w:rsidR="000909A5" w:rsidRPr="00945FAC">
        <w:t>Gold</w:t>
      </w:r>
      <w:proofErr w:type="spellEnd"/>
      <w:r w:rsidR="000909A5" w:rsidRPr="00945FAC">
        <w:t>)»</w:t>
      </w:r>
      <w:r w:rsidR="000909A5">
        <w:t xml:space="preserve"> </w:t>
      </w:r>
      <w:r w:rsidRPr="000A1430">
        <w:t xml:space="preserve">на территории Российской Федерации с использованием музейного штамма </w:t>
      </w:r>
      <w:proofErr w:type="spellStart"/>
      <w:r w:rsidRPr="000A1430">
        <w:t>коронавируса</w:t>
      </w:r>
      <w:proofErr w:type="spellEnd"/>
      <w:r w:rsidRPr="000A1430">
        <w:t xml:space="preserve"> SARS-CoV-2 «ГК2020/1» из коллекции ФГБУ «НИЦЭМ им. Н.Ф. </w:t>
      </w:r>
      <w:proofErr w:type="spellStart"/>
      <w:r w:rsidRPr="000A1430">
        <w:t>Гамалеи</w:t>
      </w:r>
      <w:proofErr w:type="spellEnd"/>
      <w:r w:rsidRPr="000A1430">
        <w:t>» продемонстрировано отсутствие «хук»-эффекта при концентрации вируса в концентрации –</w:t>
      </w:r>
      <w:r w:rsidR="00F15015">
        <w:t xml:space="preserve"> </w:t>
      </w:r>
      <w:r>
        <w:t>1</w:t>
      </w:r>
      <w:r w:rsidRPr="007619BF">
        <w:t xml:space="preserve"> </w:t>
      </w:r>
      <w:r w:rsidRPr="00052787">
        <w:t>× 10</w:t>
      </w:r>
      <w:r w:rsidRPr="00052787">
        <w:rPr>
          <w:vertAlign w:val="superscript"/>
        </w:rPr>
        <w:t>4</w:t>
      </w:r>
      <w:r w:rsidRPr="00052787">
        <w:t xml:space="preserve"> ЦПД</w:t>
      </w:r>
      <w:r w:rsidRPr="00052787">
        <w:rPr>
          <w:vertAlign w:val="subscript"/>
        </w:rPr>
        <w:t>50</w:t>
      </w:r>
      <w:r w:rsidRPr="00052787">
        <w:t>/мл (</w:t>
      </w:r>
      <w:r w:rsidRPr="00052787">
        <w:rPr>
          <w:lang w:val="en-US"/>
        </w:rPr>
        <w:t>TCID</w:t>
      </w:r>
      <w:r w:rsidRPr="00052787">
        <w:rPr>
          <w:vertAlign w:val="subscript"/>
        </w:rPr>
        <w:t>50</w:t>
      </w:r>
      <w:r w:rsidRPr="00052787">
        <w:t>/</w:t>
      </w:r>
      <w:r w:rsidRPr="00052787">
        <w:rPr>
          <w:lang w:val="en-US"/>
        </w:rPr>
        <w:t>ml</w:t>
      </w:r>
      <w:r w:rsidRPr="00052787">
        <w:t>) (1 × 10</w:t>
      </w:r>
      <w:r w:rsidRPr="00052787">
        <w:rPr>
          <w:vertAlign w:val="superscript"/>
        </w:rPr>
        <w:t>7</w:t>
      </w:r>
      <w:r w:rsidRPr="00052787">
        <w:t xml:space="preserve"> копий/мл)</w:t>
      </w:r>
      <w:r>
        <w:t>.</w:t>
      </w:r>
    </w:p>
    <w:p w14:paraId="7CC08E79" w14:textId="0226C20E" w:rsidR="00295FE0" w:rsidRDefault="00295FE0" w:rsidP="00605254">
      <w:pPr>
        <w:ind w:left="16" w:right="43"/>
        <w:jc w:val="both"/>
        <w:rPr>
          <w:bCs/>
        </w:rPr>
      </w:pPr>
    </w:p>
    <w:p w14:paraId="23EF3D93" w14:textId="3C67CD28" w:rsidR="00295FE0" w:rsidRPr="000D0258" w:rsidRDefault="000D0258" w:rsidP="00605254">
      <w:pPr>
        <w:ind w:left="16" w:right="43"/>
        <w:jc w:val="both"/>
        <w:rPr>
          <w:b/>
        </w:rPr>
      </w:pPr>
      <w:r w:rsidRPr="000D0258">
        <w:rPr>
          <w:b/>
        </w:rPr>
        <w:t>Клиническая эффективность</w:t>
      </w:r>
    </w:p>
    <w:p w14:paraId="75364454" w14:textId="77777777" w:rsidR="000D0258" w:rsidRPr="00030933" w:rsidRDefault="000D0258" w:rsidP="00605254">
      <w:pPr>
        <w:ind w:left="16" w:right="43"/>
        <w:jc w:val="both"/>
        <w:rPr>
          <w:bCs/>
        </w:rPr>
      </w:pPr>
    </w:p>
    <w:p w14:paraId="6E0238BF" w14:textId="32F99C41" w:rsidR="00295FE0" w:rsidRDefault="000F2FB5" w:rsidP="00A87307">
      <w:pPr>
        <w:ind w:left="16" w:right="43"/>
        <w:jc w:val="both"/>
        <w:rPr>
          <w:b/>
        </w:rPr>
      </w:pPr>
      <w:r w:rsidRPr="00B91B74">
        <w:rPr>
          <w:b/>
        </w:rPr>
        <w:lastRenderedPageBreak/>
        <w:t>Диагностическая чувствительность и специфичность: общая клиническая эффективность, продемонстрированная во время клинических исследований, проведенных в Китае и Европе</w:t>
      </w:r>
    </w:p>
    <w:p w14:paraId="7F13591C" w14:textId="0ABCEC39" w:rsidR="000F2FB5" w:rsidRPr="00B91B74" w:rsidRDefault="000F2FB5" w:rsidP="00A87307">
      <w:pPr>
        <w:ind w:left="16" w:right="43"/>
        <w:jc w:val="both"/>
      </w:pPr>
      <w:r w:rsidRPr="00B91B74">
        <w:t>Всего было протестировано 1444 образца из 261 подтвержденного и 1183 исключенных случаев COVID-19. Результаты экспресс-теста сравнивались с результатами ОТ-ПЦР пациентов. Клинические характеристики теста приведены в таблице</w:t>
      </w:r>
      <w:r w:rsidR="00CF2436">
        <w:t xml:space="preserve"> </w:t>
      </w:r>
      <w:r w:rsidR="003D5EF7">
        <w:t>4</w:t>
      </w:r>
      <w:r w:rsidRPr="00B91B74">
        <w:t>.</w:t>
      </w:r>
    </w:p>
    <w:p w14:paraId="675658D7" w14:textId="77777777" w:rsidR="00C33003" w:rsidRPr="003D5EF7" w:rsidRDefault="00C33003" w:rsidP="00A87307">
      <w:pPr>
        <w:ind w:left="16" w:right="43"/>
        <w:rPr>
          <w:bCs/>
        </w:rPr>
      </w:pPr>
    </w:p>
    <w:p w14:paraId="244E9623" w14:textId="36F51506" w:rsidR="000F2FB5" w:rsidRPr="00CF2436" w:rsidRDefault="000F2FB5" w:rsidP="00A87307">
      <w:pPr>
        <w:ind w:left="16" w:right="43"/>
        <w:rPr>
          <w:bCs/>
        </w:rPr>
      </w:pPr>
      <w:r w:rsidRPr="00CF2436">
        <w:rPr>
          <w:bCs/>
        </w:rPr>
        <w:t xml:space="preserve">Таблица </w:t>
      </w:r>
      <w:r w:rsidR="003D5EF7">
        <w:rPr>
          <w:bCs/>
        </w:rPr>
        <w:t>4</w:t>
      </w:r>
    </w:p>
    <w:tbl>
      <w:tblPr>
        <w:tblStyle w:val="TableGrid"/>
        <w:tblW w:w="5000" w:type="pct"/>
        <w:tblInd w:w="0" w:type="dxa"/>
        <w:tblCellMar>
          <w:top w:w="30" w:type="dxa"/>
          <w:left w:w="14" w:type="dxa"/>
          <w:right w:w="3" w:type="dxa"/>
        </w:tblCellMar>
        <w:tblLook w:val="04A0" w:firstRow="1" w:lastRow="0" w:firstColumn="1" w:lastColumn="0" w:noHBand="0" w:noVBand="1"/>
      </w:tblPr>
      <w:tblGrid>
        <w:gridCol w:w="2759"/>
        <w:gridCol w:w="2194"/>
        <w:gridCol w:w="2196"/>
        <w:gridCol w:w="2196"/>
      </w:tblGrid>
      <w:tr w:rsidR="00B91B74" w:rsidRPr="00B91B74" w14:paraId="03529893" w14:textId="77777777" w:rsidTr="00BD32C1">
        <w:trPr>
          <w:trHeight w:val="303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8611" w14:textId="3119469A" w:rsidR="000F2FB5" w:rsidRPr="000909A5" w:rsidRDefault="000909A5" w:rsidP="00A87307">
            <w:pPr>
              <w:ind w:right="4"/>
              <w:jc w:val="center"/>
              <w:rPr>
                <w:sz w:val="22"/>
                <w:szCs w:val="22"/>
                <w:lang w:val="en-US"/>
              </w:rPr>
            </w:pPr>
            <w:r w:rsidRPr="000909A5">
              <w:rPr>
                <w:sz w:val="22"/>
                <w:szCs w:val="22"/>
                <w:lang w:val="en-US"/>
              </w:rPr>
              <w:t>«WANTAI SARS-CoV-2 Ag Rapid Test (Colloidal Gold)»</w:t>
            </w:r>
          </w:p>
        </w:tc>
        <w:tc>
          <w:tcPr>
            <w:tcW w:w="3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33B6" w14:textId="65DCF04B" w:rsidR="000F2FB5" w:rsidRPr="00B91B74" w:rsidRDefault="000F2FB5" w:rsidP="00CF2436">
            <w:pPr>
              <w:ind w:right="16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ОТ-ПЦР</w:t>
            </w:r>
          </w:p>
        </w:tc>
      </w:tr>
      <w:tr w:rsidR="00B91B74" w:rsidRPr="00B91B74" w14:paraId="44C14038" w14:textId="77777777" w:rsidTr="00BD32C1">
        <w:trPr>
          <w:trHeight w:val="299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F82" w14:textId="77777777" w:rsidR="000F2FB5" w:rsidRPr="00B91B74" w:rsidRDefault="000F2FB5" w:rsidP="00A87307">
            <w:pPr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93C" w14:textId="15E97767" w:rsidR="000F2FB5" w:rsidRPr="00B91B74" w:rsidRDefault="000F2FB5" w:rsidP="00CF2436">
            <w:pPr>
              <w:ind w:right="244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676" w14:textId="3896574D" w:rsidR="000F2FB5" w:rsidRPr="00B91B74" w:rsidRDefault="000F2FB5" w:rsidP="00CF2436">
            <w:pPr>
              <w:ind w:right="13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12A" w14:textId="056C808D" w:rsidR="000F2FB5" w:rsidRPr="00B91B74" w:rsidRDefault="000C3BE9" w:rsidP="00CF2436">
            <w:pPr>
              <w:ind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91B74" w:rsidRPr="00B91B74" w14:paraId="1669A9DB" w14:textId="77777777" w:rsidTr="00BD32C1">
        <w:trPr>
          <w:trHeight w:val="294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6D7" w14:textId="6D731F49" w:rsidR="000F2FB5" w:rsidRPr="00B91B74" w:rsidRDefault="000F2FB5" w:rsidP="00A87307">
            <w:pPr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F6B" w14:textId="7D635C24" w:rsidR="000F2FB5" w:rsidRPr="00B91B74" w:rsidRDefault="000F2FB5" w:rsidP="00CF2436">
            <w:pPr>
              <w:ind w:right="15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249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97D" w14:textId="2CEC396A" w:rsidR="000F2FB5" w:rsidRPr="00B91B74" w:rsidRDefault="000F2FB5" w:rsidP="00CF2436">
            <w:pPr>
              <w:ind w:right="13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5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6BA" w14:textId="17679A28" w:rsidR="000F2FB5" w:rsidRPr="00B91B74" w:rsidRDefault="000F2FB5" w:rsidP="00CF2436">
            <w:pPr>
              <w:ind w:right="9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254</w:t>
            </w:r>
          </w:p>
        </w:tc>
      </w:tr>
      <w:tr w:rsidR="00B91B74" w:rsidRPr="00B91B74" w14:paraId="6551DFDB" w14:textId="77777777" w:rsidTr="00BD32C1">
        <w:trPr>
          <w:trHeight w:val="294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772" w14:textId="05D592F3" w:rsidR="000F2FB5" w:rsidRPr="00B91B74" w:rsidRDefault="000F2FB5" w:rsidP="00A87307">
            <w:pPr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B5CA" w14:textId="67D2B99A" w:rsidR="000F2FB5" w:rsidRPr="00B91B74" w:rsidRDefault="000F2FB5" w:rsidP="00CF2436">
            <w:pPr>
              <w:ind w:right="15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12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D72" w14:textId="6CAD30D3" w:rsidR="000F2FB5" w:rsidRPr="00B91B74" w:rsidRDefault="000F2FB5" w:rsidP="00CF2436">
            <w:pPr>
              <w:ind w:right="13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1178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CA04" w14:textId="7C91B576" w:rsidR="000F2FB5" w:rsidRPr="00B91B74" w:rsidRDefault="000F2FB5" w:rsidP="00CF2436">
            <w:pPr>
              <w:ind w:right="9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1190</w:t>
            </w:r>
          </w:p>
        </w:tc>
      </w:tr>
      <w:tr w:rsidR="00B91B74" w:rsidRPr="00B91B74" w14:paraId="270E5940" w14:textId="77777777" w:rsidTr="00BD32C1">
        <w:trPr>
          <w:trHeight w:val="303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BDB0" w14:textId="15681037" w:rsidR="000F2FB5" w:rsidRPr="00B91B74" w:rsidRDefault="003D5EF7" w:rsidP="00A87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 w:rsidR="000F2FB5" w:rsidRPr="00B91B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B659" w14:textId="1A2731C6" w:rsidR="000F2FB5" w:rsidRPr="00B91B74" w:rsidRDefault="000F2FB5" w:rsidP="00CF2436">
            <w:pPr>
              <w:ind w:right="15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261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2AA7" w14:textId="4B36FBD3" w:rsidR="000F2FB5" w:rsidRPr="00B91B74" w:rsidRDefault="000F2FB5" w:rsidP="00CF2436">
            <w:pPr>
              <w:ind w:right="13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1183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CF5" w14:textId="7CEB7443" w:rsidR="000F2FB5" w:rsidRPr="00B91B74" w:rsidRDefault="000F2FB5" w:rsidP="00CF2436">
            <w:pPr>
              <w:ind w:right="9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1444</w:t>
            </w:r>
          </w:p>
        </w:tc>
      </w:tr>
      <w:tr w:rsidR="00B91B74" w:rsidRPr="00B91B74" w14:paraId="59B6C229" w14:textId="77777777" w:rsidTr="00BD32C1">
        <w:trPr>
          <w:trHeight w:val="304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259" w14:textId="77777777" w:rsidR="000F2FB5" w:rsidRPr="00B91B74" w:rsidRDefault="000F2FB5" w:rsidP="00A87307">
            <w:pPr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PPA </w:t>
            </w:r>
          </w:p>
        </w:tc>
        <w:tc>
          <w:tcPr>
            <w:tcW w:w="3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0FB7" w14:textId="77777777" w:rsidR="000F2FB5" w:rsidRPr="00B91B74" w:rsidRDefault="000F2FB5" w:rsidP="00CF2436">
            <w:pPr>
              <w:ind w:right="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95,4% (249/261) (95% ДИ: 9,14% -97,35%)</w:t>
            </w:r>
          </w:p>
        </w:tc>
      </w:tr>
      <w:tr w:rsidR="00B91B74" w:rsidRPr="00B91B74" w14:paraId="7349E220" w14:textId="77777777" w:rsidTr="00BD32C1">
        <w:trPr>
          <w:trHeight w:val="299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133" w14:textId="77777777" w:rsidR="000F2FB5" w:rsidRPr="00B91B74" w:rsidRDefault="000F2FB5" w:rsidP="00A87307">
            <w:pPr>
              <w:ind w:right="71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Для </w:t>
            </w:r>
            <w:proofErr w:type="spellStart"/>
            <w:r w:rsidRPr="00B91B74">
              <w:rPr>
                <w:sz w:val="22"/>
                <w:szCs w:val="22"/>
              </w:rPr>
              <w:t>Ct</w:t>
            </w:r>
            <w:proofErr w:type="spellEnd"/>
            <w:r w:rsidRPr="00B91B74">
              <w:rPr>
                <w:sz w:val="22"/>
                <w:szCs w:val="22"/>
              </w:rPr>
              <w:t xml:space="preserve"> &lt;25 </w:t>
            </w:r>
          </w:p>
        </w:tc>
        <w:tc>
          <w:tcPr>
            <w:tcW w:w="3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75A" w14:textId="77777777" w:rsidR="000F2FB5" w:rsidRPr="00B91B74" w:rsidRDefault="000F2FB5" w:rsidP="00CF2436">
            <w:pPr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100% (120/120) (95% ДИ: 96,90% -100,00%)</w:t>
            </w:r>
          </w:p>
        </w:tc>
      </w:tr>
      <w:tr w:rsidR="00B91B74" w:rsidRPr="00B91B74" w14:paraId="406B336D" w14:textId="77777777" w:rsidTr="00BD32C1">
        <w:trPr>
          <w:trHeight w:val="303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DE2F" w14:textId="77777777" w:rsidR="000F2FB5" w:rsidRPr="00B91B74" w:rsidRDefault="000F2FB5" w:rsidP="00A87307">
            <w:pPr>
              <w:ind w:right="71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Для </w:t>
            </w:r>
            <w:proofErr w:type="spellStart"/>
            <w:r w:rsidRPr="00B91B74">
              <w:rPr>
                <w:sz w:val="22"/>
                <w:szCs w:val="22"/>
              </w:rPr>
              <w:t>Ct</w:t>
            </w:r>
            <w:proofErr w:type="spellEnd"/>
            <w:r w:rsidRPr="00B91B74">
              <w:rPr>
                <w:sz w:val="22"/>
                <w:szCs w:val="22"/>
              </w:rPr>
              <w:t xml:space="preserve"> &lt;30 </w:t>
            </w:r>
          </w:p>
        </w:tc>
        <w:tc>
          <w:tcPr>
            <w:tcW w:w="3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94F4" w14:textId="77777777" w:rsidR="000F2FB5" w:rsidRPr="00B91B74" w:rsidRDefault="000F2FB5" w:rsidP="00CF2436">
            <w:pPr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97,7% (212/217) (95% ДИ: 94,72% -99,01%)</w:t>
            </w:r>
          </w:p>
        </w:tc>
      </w:tr>
      <w:tr w:rsidR="00B91B74" w:rsidRPr="00B91B74" w14:paraId="41A2E976" w14:textId="77777777" w:rsidTr="00BD32C1">
        <w:trPr>
          <w:trHeight w:val="311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DD1" w14:textId="77777777" w:rsidR="000F2FB5" w:rsidRPr="00B91B74" w:rsidRDefault="000F2FB5" w:rsidP="00A87307">
            <w:pPr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NPA </w:t>
            </w:r>
          </w:p>
        </w:tc>
        <w:tc>
          <w:tcPr>
            <w:tcW w:w="3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273C" w14:textId="77777777" w:rsidR="000F2FB5" w:rsidRPr="00B91B74" w:rsidRDefault="000F2FB5" w:rsidP="00CF2436">
            <w:pPr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99,6% (1178/1183) (95% ДИ: 99,01% -99,82%)</w:t>
            </w:r>
          </w:p>
        </w:tc>
      </w:tr>
    </w:tbl>
    <w:p w14:paraId="3A541B7A" w14:textId="77777777" w:rsidR="00C33003" w:rsidRPr="00B91B74" w:rsidRDefault="00C33003" w:rsidP="00A87307">
      <w:pPr>
        <w:ind w:left="16" w:right="43"/>
        <w:jc w:val="both"/>
      </w:pPr>
    </w:p>
    <w:p w14:paraId="326B28C1" w14:textId="764D7E48" w:rsidR="008D1709" w:rsidRPr="00B91B74" w:rsidRDefault="000F2FB5" w:rsidP="00A87307">
      <w:pPr>
        <w:ind w:left="16" w:right="43"/>
        <w:jc w:val="both"/>
      </w:pPr>
      <w:r w:rsidRPr="00B91B74">
        <w:t>Положительное процентное совпадение (PPA) теста составило 95,4% (249/261), а отрицательное процентное совпадение (NPA) составило 99,6% (1178/1183), что</w:t>
      </w:r>
      <w:r w:rsidR="00475CF0" w:rsidRPr="00B91B74">
        <w:t xml:space="preserve"> </w:t>
      </w:r>
      <w:r w:rsidRPr="00B91B74">
        <w:t xml:space="preserve">указывает на то, что экспресс-тест имеет хороший уровень выявления случаев раннего начала заболевания. </w:t>
      </w:r>
    </w:p>
    <w:p w14:paraId="32D40E87" w14:textId="77777777" w:rsidR="008D1709" w:rsidRPr="00B91B74" w:rsidRDefault="008D1709" w:rsidP="00A87307">
      <w:pPr>
        <w:ind w:right="43"/>
      </w:pPr>
    </w:p>
    <w:p w14:paraId="56EF8638" w14:textId="77777777" w:rsidR="00CF2436" w:rsidRDefault="000F2FB5" w:rsidP="00A87307">
      <w:pPr>
        <w:ind w:right="43"/>
        <w:jc w:val="both"/>
        <w:rPr>
          <w:b/>
        </w:rPr>
      </w:pPr>
      <w:r w:rsidRPr="00B91B74">
        <w:rPr>
          <w:b/>
        </w:rPr>
        <w:t>Клиническая эффективность в Китае</w:t>
      </w:r>
    </w:p>
    <w:p w14:paraId="5ADA5369" w14:textId="0C94792E" w:rsidR="00D234BA" w:rsidRDefault="000F2FB5" w:rsidP="003D5EF7">
      <w:pPr>
        <w:ind w:right="43"/>
        <w:jc w:val="both"/>
      </w:pPr>
      <w:r w:rsidRPr="00B91B74">
        <w:t>Всего было собрано 744 образца</w:t>
      </w:r>
      <w:r w:rsidR="0090478D">
        <w:t xml:space="preserve">. </w:t>
      </w:r>
      <w:r w:rsidRPr="00B91B74">
        <w:t>61 подтвержденн</w:t>
      </w:r>
      <w:r w:rsidR="0090478D">
        <w:t>ый</w:t>
      </w:r>
      <w:r w:rsidRPr="00B91B74">
        <w:t xml:space="preserve"> случа</w:t>
      </w:r>
      <w:r w:rsidR="0090478D">
        <w:t>й</w:t>
      </w:r>
      <w:r w:rsidRPr="00B91B74">
        <w:t xml:space="preserve"> COVID-19 в течение 7 дней с момента начала заболевания, и 683 исключенных случая COVID-19 были проанализированы с помощью этого набора. Результаты теста сравнивали с результатами</w:t>
      </w:r>
      <w:r w:rsidR="003D5EF7">
        <w:t>,</w:t>
      </w:r>
      <w:r w:rsidRPr="00B91B74">
        <w:t xml:space="preserve"> </w:t>
      </w:r>
      <w:r w:rsidR="00E83D9F">
        <w:t>полученными</w:t>
      </w:r>
      <w:r w:rsidRPr="00B91B74">
        <w:t xml:space="preserve"> методом ОТ-ПЦР</w:t>
      </w:r>
      <w:r w:rsidR="00E83D9F">
        <w:t xml:space="preserve"> (таблица </w:t>
      </w:r>
      <w:r w:rsidR="003D5EF7">
        <w:t>5</w:t>
      </w:r>
      <w:r w:rsidR="00E83D9F">
        <w:t>)</w:t>
      </w:r>
      <w:r w:rsidR="003D5EF7">
        <w:t>.</w:t>
      </w:r>
    </w:p>
    <w:p w14:paraId="2874231B" w14:textId="77777777" w:rsidR="003D5EF7" w:rsidRPr="00CF2436" w:rsidRDefault="003D5EF7" w:rsidP="003D5EF7">
      <w:pPr>
        <w:ind w:right="43"/>
        <w:jc w:val="both"/>
        <w:rPr>
          <w:bCs/>
        </w:rPr>
      </w:pPr>
    </w:p>
    <w:p w14:paraId="2910AB6C" w14:textId="0D705EF5" w:rsidR="00D234BA" w:rsidRPr="00CF2436" w:rsidRDefault="000F2FB5" w:rsidP="00A87307">
      <w:pPr>
        <w:ind w:right="43"/>
        <w:rPr>
          <w:bCs/>
        </w:rPr>
      </w:pPr>
      <w:r w:rsidRPr="00CF2436">
        <w:rPr>
          <w:bCs/>
        </w:rPr>
        <w:t xml:space="preserve">Таблица </w:t>
      </w:r>
      <w:r w:rsidR="003D5EF7">
        <w:rPr>
          <w:bCs/>
        </w:rPr>
        <w:t>5</w:t>
      </w:r>
    </w:p>
    <w:tbl>
      <w:tblPr>
        <w:tblStyle w:val="TableGrid"/>
        <w:tblW w:w="5000" w:type="pct"/>
        <w:tblInd w:w="0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2829"/>
        <w:gridCol w:w="2172"/>
        <w:gridCol w:w="2172"/>
        <w:gridCol w:w="2172"/>
      </w:tblGrid>
      <w:tr w:rsidR="00B91B74" w:rsidRPr="00B91B74" w14:paraId="605325A7" w14:textId="77777777" w:rsidTr="00BD32C1">
        <w:trPr>
          <w:trHeight w:val="227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96A" w14:textId="3248643F" w:rsidR="000F2FB5" w:rsidRPr="000909A5" w:rsidRDefault="000909A5" w:rsidP="00A87307">
            <w:pPr>
              <w:ind w:left="9"/>
              <w:jc w:val="center"/>
              <w:rPr>
                <w:sz w:val="22"/>
                <w:szCs w:val="22"/>
                <w:lang w:val="en-US"/>
              </w:rPr>
            </w:pPr>
            <w:r w:rsidRPr="000909A5">
              <w:rPr>
                <w:sz w:val="22"/>
                <w:szCs w:val="22"/>
                <w:lang w:val="en-US"/>
              </w:rPr>
              <w:t>«WANTAI SARS-CoV-2 Ag Rapid Test (Colloidal Gold)»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623" w14:textId="77777777" w:rsidR="000F2FB5" w:rsidRPr="00B91B74" w:rsidRDefault="000F2FB5" w:rsidP="00A87307">
            <w:pPr>
              <w:ind w:left="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ОТ-ПЦР </w:t>
            </w:r>
          </w:p>
        </w:tc>
      </w:tr>
      <w:tr w:rsidR="00B91B74" w:rsidRPr="00B91B74" w14:paraId="66A6357A" w14:textId="77777777" w:rsidTr="00BD32C1">
        <w:trPr>
          <w:trHeight w:val="217"/>
        </w:trPr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8CF" w14:textId="77777777" w:rsidR="000F2FB5" w:rsidRPr="00B91B74" w:rsidRDefault="000F2FB5" w:rsidP="00A87307">
            <w:pPr>
              <w:rPr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1AE" w14:textId="6A148F86" w:rsidR="000F2FB5" w:rsidRPr="00B91B74" w:rsidRDefault="000F2FB5" w:rsidP="006D3312">
            <w:pPr>
              <w:ind w:right="194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A03" w14:textId="6F81D9FD" w:rsidR="000F2FB5" w:rsidRPr="00B91B74" w:rsidRDefault="000F2FB5" w:rsidP="006D3312">
            <w:pPr>
              <w:tabs>
                <w:tab w:val="center" w:pos="411"/>
              </w:tabs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212" w14:textId="0969974D" w:rsidR="000F2FB5" w:rsidRPr="00B91B74" w:rsidRDefault="006D3312" w:rsidP="006D3312">
            <w:pPr>
              <w:ind w:lef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91B74" w:rsidRPr="00B91B74" w14:paraId="274E65EE" w14:textId="77777777" w:rsidTr="00BD32C1">
        <w:trPr>
          <w:trHeight w:val="21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A77" w14:textId="77777777" w:rsidR="000F2FB5" w:rsidRPr="00B91B74" w:rsidRDefault="000F2FB5" w:rsidP="00A87307">
            <w:pPr>
              <w:ind w:left="14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Положительный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558" w14:textId="77777777" w:rsidR="000F2FB5" w:rsidRPr="00B91B74" w:rsidRDefault="000F2FB5" w:rsidP="00A87307">
            <w:pPr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57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10F" w14:textId="77777777" w:rsidR="000F2FB5" w:rsidRPr="00B91B74" w:rsidRDefault="000F2FB5" w:rsidP="00A87307">
            <w:pPr>
              <w:ind w:right="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277" w14:textId="77777777" w:rsidR="000F2FB5" w:rsidRPr="00B91B74" w:rsidRDefault="000F2FB5" w:rsidP="00A87307">
            <w:pPr>
              <w:ind w:left="5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58 </w:t>
            </w:r>
          </w:p>
        </w:tc>
      </w:tr>
      <w:tr w:rsidR="00B91B74" w:rsidRPr="00B91B74" w14:paraId="069D7F8D" w14:textId="77777777" w:rsidTr="00BD32C1">
        <w:trPr>
          <w:trHeight w:val="21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5DE" w14:textId="77777777" w:rsidR="000F2FB5" w:rsidRPr="00B91B74" w:rsidRDefault="000F2FB5" w:rsidP="00A87307">
            <w:pPr>
              <w:ind w:left="14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Отрицательный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749" w14:textId="77777777" w:rsidR="000F2FB5" w:rsidRPr="00B91B74" w:rsidRDefault="000F2FB5" w:rsidP="00A87307">
            <w:pPr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9DB" w14:textId="77777777" w:rsidR="000F2FB5" w:rsidRPr="00B91B74" w:rsidRDefault="000F2FB5" w:rsidP="00A87307">
            <w:pPr>
              <w:ind w:right="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682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457" w14:textId="77777777" w:rsidR="000F2FB5" w:rsidRPr="00B91B74" w:rsidRDefault="000F2FB5" w:rsidP="00A87307">
            <w:pPr>
              <w:ind w:left="5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686 </w:t>
            </w:r>
          </w:p>
        </w:tc>
      </w:tr>
      <w:tr w:rsidR="00B91B74" w:rsidRPr="00B91B74" w14:paraId="77938956" w14:textId="77777777" w:rsidTr="00BD32C1">
        <w:trPr>
          <w:trHeight w:val="223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290" w14:textId="3FD28848" w:rsidR="000F2FB5" w:rsidRPr="00B91B74" w:rsidRDefault="003D5EF7" w:rsidP="00A87307">
            <w:pPr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CF3" w14:textId="46695774" w:rsidR="000F2FB5" w:rsidRPr="00B91B74" w:rsidRDefault="000F2FB5" w:rsidP="00A87307">
            <w:pPr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991" w14:textId="77777777" w:rsidR="000F2FB5" w:rsidRPr="00B91B74" w:rsidRDefault="000F2FB5" w:rsidP="00A87307">
            <w:pPr>
              <w:ind w:right="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683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780" w14:textId="77777777" w:rsidR="000F2FB5" w:rsidRPr="00B91B74" w:rsidRDefault="000F2FB5" w:rsidP="00A87307">
            <w:pPr>
              <w:ind w:left="5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744 </w:t>
            </w:r>
          </w:p>
        </w:tc>
      </w:tr>
      <w:tr w:rsidR="00B91B74" w:rsidRPr="00B91B74" w14:paraId="43622650" w14:textId="77777777" w:rsidTr="00BD32C1">
        <w:trPr>
          <w:trHeight w:val="225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F27" w14:textId="77777777" w:rsidR="000F2FB5" w:rsidRPr="00B91B74" w:rsidRDefault="000F2FB5" w:rsidP="00A87307">
            <w:pPr>
              <w:ind w:left="14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PPA 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20" w14:textId="77777777" w:rsidR="000F2FB5" w:rsidRPr="00B91B74" w:rsidRDefault="000F2FB5" w:rsidP="00A87307">
            <w:pPr>
              <w:ind w:right="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93,4% (57/61) (95% ДИ: 84,32% -97,42%)</w:t>
            </w:r>
          </w:p>
        </w:tc>
      </w:tr>
      <w:tr w:rsidR="00B91B74" w:rsidRPr="00B91B74" w14:paraId="1F35CCA2" w14:textId="77777777" w:rsidTr="00BD32C1">
        <w:trPr>
          <w:trHeight w:val="21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8FD" w14:textId="77777777" w:rsidR="000F2FB5" w:rsidRPr="00B91B74" w:rsidRDefault="000F2FB5" w:rsidP="00A87307">
            <w:pPr>
              <w:ind w:right="66"/>
              <w:jc w:val="right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Для </w:t>
            </w:r>
            <w:proofErr w:type="spellStart"/>
            <w:r w:rsidRPr="00B91B74">
              <w:rPr>
                <w:sz w:val="22"/>
                <w:szCs w:val="22"/>
              </w:rPr>
              <w:t>Ct</w:t>
            </w:r>
            <w:proofErr w:type="spellEnd"/>
            <w:r w:rsidRPr="00B91B74">
              <w:rPr>
                <w:sz w:val="22"/>
                <w:szCs w:val="22"/>
              </w:rPr>
              <w:t xml:space="preserve"> &lt;25 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827" w14:textId="77777777" w:rsidR="000F2FB5" w:rsidRPr="00B91B74" w:rsidRDefault="000F2FB5" w:rsidP="00A87307">
            <w:pPr>
              <w:ind w:right="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100% (15/15) (95% ДИ: 79,61% -100,00%)</w:t>
            </w:r>
          </w:p>
        </w:tc>
      </w:tr>
      <w:tr w:rsidR="00B91B74" w:rsidRPr="00B91B74" w14:paraId="0320B4BD" w14:textId="77777777" w:rsidTr="00BD32C1">
        <w:trPr>
          <w:trHeight w:val="223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BDF" w14:textId="77777777" w:rsidR="000F2FB5" w:rsidRPr="00B91B74" w:rsidRDefault="000F2FB5" w:rsidP="00A87307">
            <w:pPr>
              <w:ind w:right="66"/>
              <w:jc w:val="right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Для </w:t>
            </w:r>
            <w:proofErr w:type="spellStart"/>
            <w:r w:rsidRPr="00B91B74">
              <w:rPr>
                <w:sz w:val="22"/>
                <w:szCs w:val="22"/>
              </w:rPr>
              <w:t>Ct</w:t>
            </w:r>
            <w:proofErr w:type="spellEnd"/>
            <w:r w:rsidRPr="00B91B74">
              <w:rPr>
                <w:sz w:val="22"/>
                <w:szCs w:val="22"/>
              </w:rPr>
              <w:t xml:space="preserve"> &lt;30 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C9E" w14:textId="77777777" w:rsidR="000F2FB5" w:rsidRPr="00B91B74" w:rsidRDefault="000F2FB5" w:rsidP="00A87307">
            <w:pPr>
              <w:ind w:right="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100% (44/44) (95% ДИ: 91,97% -100,00%)</w:t>
            </w:r>
          </w:p>
        </w:tc>
      </w:tr>
      <w:tr w:rsidR="000F2FB5" w:rsidRPr="00B91B74" w14:paraId="4B15BED9" w14:textId="77777777" w:rsidTr="00BD32C1">
        <w:trPr>
          <w:trHeight w:val="23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A40" w14:textId="77777777" w:rsidR="000F2FB5" w:rsidRPr="00B91B74" w:rsidRDefault="000F2FB5" w:rsidP="00A87307">
            <w:pPr>
              <w:ind w:left="14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NPA 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695" w14:textId="77777777" w:rsidR="000F2FB5" w:rsidRPr="00B91B74" w:rsidRDefault="000F2FB5" w:rsidP="00A87307">
            <w:pPr>
              <w:ind w:left="8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99,9% (682/683) (95% ДИ: 99,18% -99,97%)</w:t>
            </w:r>
          </w:p>
        </w:tc>
      </w:tr>
    </w:tbl>
    <w:p w14:paraId="739C272F" w14:textId="77777777" w:rsidR="000F2FB5" w:rsidRPr="00B91B74" w:rsidRDefault="000F2FB5" w:rsidP="00A87307">
      <w:pPr>
        <w:ind w:right="43"/>
      </w:pPr>
    </w:p>
    <w:p w14:paraId="14A6A719" w14:textId="77777777" w:rsidR="00C5179A" w:rsidRDefault="000F2FB5" w:rsidP="00A87307">
      <w:pPr>
        <w:ind w:right="43"/>
        <w:jc w:val="both"/>
        <w:rPr>
          <w:b/>
        </w:rPr>
      </w:pPr>
      <w:r w:rsidRPr="00B91B74">
        <w:rPr>
          <w:b/>
        </w:rPr>
        <w:t>Клиническая эффективность в Европе</w:t>
      </w:r>
    </w:p>
    <w:p w14:paraId="489819CE" w14:textId="16AB8219" w:rsidR="000F2FB5" w:rsidRDefault="000F2FB5" w:rsidP="00A87307">
      <w:pPr>
        <w:ind w:right="43"/>
        <w:jc w:val="both"/>
      </w:pPr>
      <w:r w:rsidRPr="00B91B74">
        <w:t xml:space="preserve">Всего 700 образцов (мазки из носа), взятые непосредственно у 200 </w:t>
      </w:r>
      <w:r w:rsidR="00C5179A">
        <w:t xml:space="preserve">лиц с </w:t>
      </w:r>
      <w:r w:rsidRPr="00B91B74">
        <w:t>подтвержденны</w:t>
      </w:r>
      <w:r w:rsidR="00C5179A">
        <w:t>м</w:t>
      </w:r>
      <w:r w:rsidRPr="00B91B74">
        <w:t xml:space="preserve"> </w:t>
      </w:r>
      <w:r w:rsidR="00C5179A">
        <w:t>диагнозом</w:t>
      </w:r>
      <w:r w:rsidRPr="00B91B74">
        <w:t xml:space="preserve"> COVID-19 в течение 7 дней с момента начала заболевания, и 500 исключенных случаев COVID-19 были оценены с помощью этого набора. Результаты теста сравнивали с результатами теста методом ОТ-ПЦР, клинические показатели </w:t>
      </w:r>
      <w:r w:rsidR="00C5179A">
        <w:t>приведены в таблице 6.</w:t>
      </w:r>
    </w:p>
    <w:p w14:paraId="58031C55" w14:textId="77777777" w:rsidR="001E56A2" w:rsidRPr="00B91B74" w:rsidRDefault="001E56A2" w:rsidP="00A87307">
      <w:pPr>
        <w:ind w:right="43"/>
        <w:jc w:val="both"/>
      </w:pPr>
    </w:p>
    <w:p w14:paraId="0E22C4B0" w14:textId="408FD8CB" w:rsidR="000F2FB5" w:rsidRPr="001E56A2" w:rsidRDefault="000F2FB5" w:rsidP="00A87307">
      <w:pPr>
        <w:ind w:right="43"/>
        <w:rPr>
          <w:bCs/>
        </w:rPr>
      </w:pPr>
      <w:r w:rsidRPr="001E56A2">
        <w:rPr>
          <w:bCs/>
        </w:rPr>
        <w:t xml:space="preserve">Таблица </w:t>
      </w:r>
      <w:r w:rsidR="004202C6">
        <w:rPr>
          <w:bCs/>
        </w:rPr>
        <w:t>6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14" w:type="dxa"/>
        </w:tblCellMar>
        <w:tblLook w:val="04A0" w:firstRow="1" w:lastRow="0" w:firstColumn="1" w:lastColumn="0" w:noHBand="0" w:noVBand="1"/>
      </w:tblPr>
      <w:tblGrid>
        <w:gridCol w:w="2829"/>
        <w:gridCol w:w="2172"/>
        <w:gridCol w:w="2172"/>
        <w:gridCol w:w="2172"/>
      </w:tblGrid>
      <w:tr w:rsidR="00B91B74" w:rsidRPr="00B91B74" w14:paraId="635BCFA5" w14:textId="77777777" w:rsidTr="00BD32C1">
        <w:trPr>
          <w:trHeight w:val="296"/>
        </w:trPr>
        <w:tc>
          <w:tcPr>
            <w:tcW w:w="1514" w:type="pct"/>
            <w:vMerge w:val="restart"/>
            <w:vAlign w:val="center"/>
          </w:tcPr>
          <w:p w14:paraId="66E04709" w14:textId="14E20063" w:rsidR="000F2FB5" w:rsidRPr="006D3312" w:rsidRDefault="006D3312" w:rsidP="00A87307">
            <w:pPr>
              <w:ind w:right="4"/>
              <w:jc w:val="center"/>
              <w:rPr>
                <w:sz w:val="22"/>
                <w:szCs w:val="22"/>
                <w:lang w:val="en-US"/>
              </w:rPr>
            </w:pPr>
            <w:r w:rsidRPr="006D3312">
              <w:rPr>
                <w:sz w:val="22"/>
                <w:szCs w:val="22"/>
                <w:lang w:val="en-US"/>
              </w:rPr>
              <w:t>«WANTAI SARS-CoV-2 Ag Rapid Test (Colloidal Gold)»</w:t>
            </w:r>
          </w:p>
        </w:tc>
        <w:tc>
          <w:tcPr>
            <w:tcW w:w="3486" w:type="pct"/>
            <w:gridSpan w:val="3"/>
          </w:tcPr>
          <w:p w14:paraId="45121FD4" w14:textId="77777777" w:rsidR="000F2FB5" w:rsidRPr="00B91B74" w:rsidRDefault="000F2FB5" w:rsidP="00A87307">
            <w:pPr>
              <w:ind w:right="1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ОТ-ПЦР </w:t>
            </w:r>
          </w:p>
        </w:tc>
      </w:tr>
      <w:tr w:rsidR="00B91B74" w:rsidRPr="00B91B74" w14:paraId="38115E7D" w14:textId="77777777" w:rsidTr="00BD32C1">
        <w:trPr>
          <w:trHeight w:val="285"/>
        </w:trPr>
        <w:tc>
          <w:tcPr>
            <w:tcW w:w="1514" w:type="pct"/>
            <w:vMerge/>
          </w:tcPr>
          <w:p w14:paraId="5439DFA8" w14:textId="77777777" w:rsidR="000F2FB5" w:rsidRPr="00B91B74" w:rsidRDefault="000F2FB5" w:rsidP="00A87307">
            <w:pPr>
              <w:rPr>
                <w:sz w:val="22"/>
                <w:szCs w:val="22"/>
              </w:rPr>
            </w:pPr>
          </w:p>
        </w:tc>
        <w:tc>
          <w:tcPr>
            <w:tcW w:w="1162" w:type="pct"/>
          </w:tcPr>
          <w:p w14:paraId="4B460D64" w14:textId="193F8FAA" w:rsidR="000F2FB5" w:rsidRPr="00B91B74" w:rsidRDefault="000F2FB5" w:rsidP="006D3312">
            <w:pPr>
              <w:ind w:right="213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1162" w:type="pct"/>
          </w:tcPr>
          <w:p w14:paraId="597C9B9B" w14:textId="3677336B" w:rsidR="000F2FB5" w:rsidRPr="00B91B74" w:rsidRDefault="000F2FB5" w:rsidP="006D3312">
            <w:pPr>
              <w:ind w:right="16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1162" w:type="pct"/>
          </w:tcPr>
          <w:p w14:paraId="1C6A60D4" w14:textId="5E5B0262" w:rsidR="000F2FB5" w:rsidRPr="00B91B74" w:rsidRDefault="006D3312" w:rsidP="006D3312">
            <w:pPr>
              <w:ind w:righ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91B74" w:rsidRPr="00B91B74" w14:paraId="4600522B" w14:textId="77777777" w:rsidTr="00BD32C1">
        <w:trPr>
          <w:trHeight w:val="285"/>
        </w:trPr>
        <w:tc>
          <w:tcPr>
            <w:tcW w:w="1514" w:type="pct"/>
          </w:tcPr>
          <w:p w14:paraId="0D62A11A" w14:textId="77777777" w:rsidR="000F2FB5" w:rsidRPr="00B91B74" w:rsidRDefault="000F2FB5" w:rsidP="00A87307">
            <w:pPr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lastRenderedPageBreak/>
              <w:t xml:space="preserve">Положительный </w:t>
            </w:r>
          </w:p>
        </w:tc>
        <w:tc>
          <w:tcPr>
            <w:tcW w:w="1162" w:type="pct"/>
          </w:tcPr>
          <w:p w14:paraId="1BCB250F" w14:textId="77777777" w:rsidR="000F2FB5" w:rsidRPr="00B91B74" w:rsidRDefault="000F2FB5" w:rsidP="00A87307">
            <w:pPr>
              <w:ind w:right="16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192 </w:t>
            </w:r>
          </w:p>
        </w:tc>
        <w:tc>
          <w:tcPr>
            <w:tcW w:w="1162" w:type="pct"/>
          </w:tcPr>
          <w:p w14:paraId="5B597648" w14:textId="77777777" w:rsidR="000F2FB5" w:rsidRPr="00B91B74" w:rsidRDefault="000F2FB5" w:rsidP="00A87307">
            <w:pPr>
              <w:ind w:right="16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62" w:type="pct"/>
          </w:tcPr>
          <w:p w14:paraId="121B8D16" w14:textId="77777777" w:rsidR="000F2FB5" w:rsidRPr="00B91B74" w:rsidRDefault="000F2FB5" w:rsidP="00A87307">
            <w:pPr>
              <w:ind w:right="11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196 </w:t>
            </w:r>
          </w:p>
        </w:tc>
      </w:tr>
      <w:tr w:rsidR="00B91B74" w:rsidRPr="00B91B74" w14:paraId="2F9C0129" w14:textId="77777777" w:rsidTr="00BD32C1">
        <w:trPr>
          <w:trHeight w:val="285"/>
        </w:trPr>
        <w:tc>
          <w:tcPr>
            <w:tcW w:w="1514" w:type="pct"/>
          </w:tcPr>
          <w:p w14:paraId="155D18E9" w14:textId="77777777" w:rsidR="000F2FB5" w:rsidRPr="00B91B74" w:rsidRDefault="000F2FB5" w:rsidP="00A87307">
            <w:pPr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Отрицательный </w:t>
            </w:r>
          </w:p>
        </w:tc>
        <w:tc>
          <w:tcPr>
            <w:tcW w:w="1162" w:type="pct"/>
          </w:tcPr>
          <w:p w14:paraId="2F915B97" w14:textId="77777777" w:rsidR="000F2FB5" w:rsidRPr="00B91B74" w:rsidRDefault="000F2FB5" w:rsidP="00A87307">
            <w:pPr>
              <w:ind w:right="16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162" w:type="pct"/>
          </w:tcPr>
          <w:p w14:paraId="76738B7D" w14:textId="77777777" w:rsidR="000F2FB5" w:rsidRPr="00B91B74" w:rsidRDefault="000F2FB5" w:rsidP="00A87307">
            <w:pPr>
              <w:ind w:right="16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496 </w:t>
            </w:r>
          </w:p>
        </w:tc>
        <w:tc>
          <w:tcPr>
            <w:tcW w:w="1162" w:type="pct"/>
          </w:tcPr>
          <w:p w14:paraId="49BB403B" w14:textId="77777777" w:rsidR="000F2FB5" w:rsidRPr="00B91B74" w:rsidRDefault="000F2FB5" w:rsidP="00A87307">
            <w:pPr>
              <w:ind w:right="11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504 </w:t>
            </w:r>
          </w:p>
        </w:tc>
      </w:tr>
      <w:tr w:rsidR="00B91B74" w:rsidRPr="00B91B74" w14:paraId="2E2D230D" w14:textId="77777777" w:rsidTr="00BD32C1">
        <w:trPr>
          <w:trHeight w:val="293"/>
        </w:trPr>
        <w:tc>
          <w:tcPr>
            <w:tcW w:w="1514" w:type="pct"/>
          </w:tcPr>
          <w:p w14:paraId="0EE540B0" w14:textId="7807051B" w:rsidR="000F2FB5" w:rsidRPr="00B91B74" w:rsidRDefault="00C5179A" w:rsidP="00A87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62" w:type="pct"/>
          </w:tcPr>
          <w:p w14:paraId="0BEF5BA9" w14:textId="77777777" w:rsidR="000F2FB5" w:rsidRPr="00B91B74" w:rsidRDefault="000F2FB5" w:rsidP="00A87307">
            <w:pPr>
              <w:ind w:right="16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162" w:type="pct"/>
          </w:tcPr>
          <w:p w14:paraId="789C0CF3" w14:textId="77777777" w:rsidR="000F2FB5" w:rsidRPr="00B91B74" w:rsidRDefault="000F2FB5" w:rsidP="00A87307">
            <w:pPr>
              <w:ind w:right="16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1162" w:type="pct"/>
          </w:tcPr>
          <w:p w14:paraId="15A9CD14" w14:textId="77777777" w:rsidR="000F2FB5" w:rsidRPr="00B91B74" w:rsidRDefault="000F2FB5" w:rsidP="00A87307">
            <w:pPr>
              <w:ind w:right="11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700 </w:t>
            </w:r>
          </w:p>
        </w:tc>
      </w:tr>
      <w:tr w:rsidR="00B91B74" w:rsidRPr="00B91B74" w14:paraId="7E412EC9" w14:textId="77777777" w:rsidTr="00BD32C1">
        <w:trPr>
          <w:trHeight w:val="296"/>
        </w:trPr>
        <w:tc>
          <w:tcPr>
            <w:tcW w:w="1514" w:type="pct"/>
          </w:tcPr>
          <w:p w14:paraId="14A678B3" w14:textId="77777777" w:rsidR="000F2FB5" w:rsidRPr="00B91B74" w:rsidRDefault="000F2FB5" w:rsidP="00A87307">
            <w:pPr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PPA </w:t>
            </w:r>
          </w:p>
        </w:tc>
        <w:tc>
          <w:tcPr>
            <w:tcW w:w="3486" w:type="pct"/>
            <w:gridSpan w:val="3"/>
          </w:tcPr>
          <w:p w14:paraId="51712FBC" w14:textId="77777777" w:rsidR="000F2FB5" w:rsidRPr="00B91B74" w:rsidRDefault="000F2FB5" w:rsidP="00A87307">
            <w:pPr>
              <w:ind w:left="80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96,0% (192/200) (95% ДИ: 92,31% -97,96%)</w:t>
            </w:r>
          </w:p>
        </w:tc>
      </w:tr>
      <w:tr w:rsidR="00B91B74" w:rsidRPr="00B91B74" w14:paraId="3E187BC1" w14:textId="77777777" w:rsidTr="00BD32C1">
        <w:trPr>
          <w:trHeight w:val="285"/>
        </w:trPr>
        <w:tc>
          <w:tcPr>
            <w:tcW w:w="1514" w:type="pct"/>
          </w:tcPr>
          <w:p w14:paraId="25ACE003" w14:textId="77777777" w:rsidR="000F2FB5" w:rsidRPr="00B91B74" w:rsidRDefault="000F2FB5" w:rsidP="00A87307">
            <w:pPr>
              <w:ind w:right="66"/>
              <w:jc w:val="right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Для </w:t>
            </w:r>
            <w:proofErr w:type="spellStart"/>
            <w:r w:rsidRPr="00B91B74">
              <w:rPr>
                <w:sz w:val="22"/>
                <w:szCs w:val="22"/>
              </w:rPr>
              <w:t>Ct</w:t>
            </w:r>
            <w:proofErr w:type="spellEnd"/>
            <w:r w:rsidRPr="00B91B74">
              <w:rPr>
                <w:sz w:val="22"/>
                <w:szCs w:val="22"/>
              </w:rPr>
              <w:t xml:space="preserve"> &lt;25 </w:t>
            </w:r>
          </w:p>
        </w:tc>
        <w:tc>
          <w:tcPr>
            <w:tcW w:w="3486" w:type="pct"/>
            <w:gridSpan w:val="3"/>
          </w:tcPr>
          <w:p w14:paraId="741AAAD4" w14:textId="77777777" w:rsidR="000F2FB5" w:rsidRPr="00B91B74" w:rsidRDefault="000F2FB5" w:rsidP="00A87307">
            <w:pPr>
              <w:ind w:left="62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100% (105/105) (95% ДИ: 96,47% -100,00%)</w:t>
            </w:r>
          </w:p>
        </w:tc>
      </w:tr>
      <w:tr w:rsidR="00B91B74" w:rsidRPr="00B91B74" w14:paraId="2D648474" w14:textId="77777777" w:rsidTr="00BD32C1">
        <w:trPr>
          <w:trHeight w:val="293"/>
        </w:trPr>
        <w:tc>
          <w:tcPr>
            <w:tcW w:w="1514" w:type="pct"/>
          </w:tcPr>
          <w:p w14:paraId="4C5074F4" w14:textId="77777777" w:rsidR="000F2FB5" w:rsidRPr="00B91B74" w:rsidRDefault="000F2FB5" w:rsidP="00A87307">
            <w:pPr>
              <w:ind w:right="66"/>
              <w:jc w:val="right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Для </w:t>
            </w:r>
            <w:proofErr w:type="spellStart"/>
            <w:r w:rsidRPr="00B91B74">
              <w:rPr>
                <w:sz w:val="22"/>
                <w:szCs w:val="22"/>
              </w:rPr>
              <w:t>Ct</w:t>
            </w:r>
            <w:proofErr w:type="spellEnd"/>
            <w:r w:rsidRPr="00B91B74">
              <w:rPr>
                <w:sz w:val="22"/>
                <w:szCs w:val="22"/>
              </w:rPr>
              <w:t xml:space="preserve"> &lt;30 </w:t>
            </w:r>
          </w:p>
        </w:tc>
        <w:tc>
          <w:tcPr>
            <w:tcW w:w="3486" w:type="pct"/>
            <w:gridSpan w:val="3"/>
          </w:tcPr>
          <w:p w14:paraId="45A38650" w14:textId="77777777" w:rsidR="000F2FB5" w:rsidRPr="00B91B74" w:rsidRDefault="000F2FB5" w:rsidP="00A87307">
            <w:pPr>
              <w:ind w:left="80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97,1% (168/173) (95% ДИ: 93,41–98,76%)</w:t>
            </w:r>
          </w:p>
        </w:tc>
      </w:tr>
      <w:tr w:rsidR="000F2FB5" w:rsidRPr="00B91B74" w14:paraId="0B936AE6" w14:textId="77777777" w:rsidTr="00BD32C1">
        <w:trPr>
          <w:trHeight w:val="304"/>
        </w:trPr>
        <w:tc>
          <w:tcPr>
            <w:tcW w:w="1514" w:type="pct"/>
          </w:tcPr>
          <w:p w14:paraId="043A245F" w14:textId="77777777" w:rsidR="000F2FB5" w:rsidRPr="00B91B74" w:rsidRDefault="000F2FB5" w:rsidP="00A87307">
            <w:pPr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 xml:space="preserve">NPA </w:t>
            </w:r>
          </w:p>
        </w:tc>
        <w:tc>
          <w:tcPr>
            <w:tcW w:w="3486" w:type="pct"/>
            <w:gridSpan w:val="3"/>
          </w:tcPr>
          <w:p w14:paraId="4591F5E7" w14:textId="77777777" w:rsidR="000F2FB5" w:rsidRPr="00B91B74" w:rsidRDefault="000F2FB5" w:rsidP="00A87307">
            <w:pPr>
              <w:ind w:left="80"/>
              <w:jc w:val="center"/>
              <w:rPr>
                <w:sz w:val="22"/>
                <w:szCs w:val="22"/>
              </w:rPr>
            </w:pPr>
            <w:r w:rsidRPr="00B91B74">
              <w:rPr>
                <w:sz w:val="22"/>
                <w:szCs w:val="22"/>
              </w:rPr>
              <w:t>99,2% (496/500) (95% ДИ: 97,96% -99,69%)</w:t>
            </w:r>
          </w:p>
        </w:tc>
      </w:tr>
    </w:tbl>
    <w:p w14:paraId="3178B413" w14:textId="77777777" w:rsidR="000F2FB5" w:rsidRPr="00B91B74" w:rsidRDefault="000F2FB5" w:rsidP="00A87307">
      <w:pPr>
        <w:ind w:left="16" w:right="43"/>
        <w:rPr>
          <w:b/>
        </w:rPr>
      </w:pPr>
    </w:p>
    <w:p w14:paraId="42BC3E37" w14:textId="77777777" w:rsidR="005749FC" w:rsidRPr="001A1C2B" w:rsidRDefault="005749FC" w:rsidP="005C7B21">
      <w:pPr>
        <w:tabs>
          <w:tab w:val="left" w:pos="567"/>
        </w:tabs>
        <w:jc w:val="both"/>
        <w:rPr>
          <w:b/>
          <w:bCs/>
        </w:rPr>
      </w:pPr>
      <w:r w:rsidRPr="001A1C2B">
        <w:rPr>
          <w:b/>
          <w:bCs/>
        </w:rPr>
        <w:t>Диагностические характеристики</w:t>
      </w:r>
    </w:p>
    <w:p w14:paraId="4AAB8A6A" w14:textId="59C5BAF2" w:rsidR="005749FC" w:rsidRPr="001A1C2B" w:rsidRDefault="005749FC" w:rsidP="005C7B21">
      <w:pPr>
        <w:tabs>
          <w:tab w:val="left" w:pos="567"/>
        </w:tabs>
        <w:jc w:val="both"/>
      </w:pPr>
      <w:r w:rsidRPr="001A1C2B">
        <w:t xml:space="preserve">По данным клинических испытаний набора реагентов, проведенных на территории Российской Федерации с использованием </w:t>
      </w:r>
      <w:r w:rsidR="004141F6">
        <w:t>70</w:t>
      </w:r>
      <w:r w:rsidRPr="001A1C2B">
        <w:t xml:space="preserve"> положительных и </w:t>
      </w:r>
      <w:r w:rsidR="004141F6">
        <w:t>70</w:t>
      </w:r>
      <w:r w:rsidRPr="001A1C2B">
        <w:t xml:space="preserve"> отрицательных клинических образцов биологического материала (мазков из носа и образцов слюны), были установлены следующие диагностические характеристики:</w:t>
      </w:r>
    </w:p>
    <w:p w14:paraId="31E9D475" w14:textId="77777777" w:rsidR="005749FC" w:rsidRPr="005C7B21" w:rsidRDefault="005749FC" w:rsidP="005C7B21">
      <w:pPr>
        <w:tabs>
          <w:tab w:val="left" w:pos="567"/>
        </w:tabs>
        <w:jc w:val="both"/>
        <w:rPr>
          <w:highlight w:val="yellow"/>
        </w:rPr>
      </w:pPr>
    </w:p>
    <w:p w14:paraId="72885F12" w14:textId="74869E1E" w:rsidR="005749FC" w:rsidRPr="001A1C2B" w:rsidRDefault="005749FC" w:rsidP="005C7B21">
      <w:pPr>
        <w:tabs>
          <w:tab w:val="left" w:pos="567"/>
        </w:tabs>
        <w:jc w:val="both"/>
      </w:pPr>
      <w:r w:rsidRPr="001A1C2B">
        <w:t>Диагностическая чувствительность: 9</w:t>
      </w:r>
      <w:r w:rsidR="00F67B22" w:rsidRPr="006F5E7C">
        <w:t>3</w:t>
      </w:r>
      <w:r w:rsidRPr="001A1C2B">
        <w:t>,</w:t>
      </w:r>
      <w:r w:rsidR="00F67B22" w:rsidRPr="006F5E7C">
        <w:t>33</w:t>
      </w:r>
      <w:r w:rsidRPr="001A1C2B">
        <w:t>% (95% ДИ 8</w:t>
      </w:r>
      <w:r w:rsidR="00F67B22" w:rsidRPr="006F5E7C">
        <w:t>5</w:t>
      </w:r>
      <w:r w:rsidRPr="001A1C2B">
        <w:t>,</w:t>
      </w:r>
      <w:r w:rsidR="00F67B22" w:rsidRPr="006F5E7C">
        <w:t>12</w:t>
      </w:r>
      <w:r w:rsidRPr="001A1C2B">
        <w:t>-9</w:t>
      </w:r>
      <w:r w:rsidR="00F67B22" w:rsidRPr="006F5E7C">
        <w:t>7</w:t>
      </w:r>
      <w:r w:rsidRPr="001A1C2B">
        <w:t>,</w:t>
      </w:r>
      <w:r w:rsidR="00F67B22" w:rsidRPr="006F5E7C">
        <w:t>80</w:t>
      </w:r>
      <w:r w:rsidRPr="001A1C2B">
        <w:t>%).</w:t>
      </w:r>
    </w:p>
    <w:p w14:paraId="74B43C2F" w14:textId="58E8E9CA" w:rsidR="005749FC" w:rsidRPr="001A1C2B" w:rsidRDefault="005749FC" w:rsidP="005C7B21">
      <w:pPr>
        <w:tabs>
          <w:tab w:val="left" w:pos="567"/>
        </w:tabs>
        <w:jc w:val="both"/>
      </w:pPr>
      <w:r w:rsidRPr="001A1C2B">
        <w:t>Диагностическая специфичность: 100,00% (95% ДИ 9</w:t>
      </w:r>
      <w:r w:rsidR="001A1C2B" w:rsidRPr="001A1C2B">
        <w:t>4</w:t>
      </w:r>
      <w:r w:rsidRPr="001A1C2B">
        <w:t>,</w:t>
      </w:r>
      <w:r w:rsidR="001A1C2B" w:rsidRPr="001A1C2B">
        <w:t>87</w:t>
      </w:r>
      <w:r w:rsidRPr="001A1C2B">
        <w:t>-100,00%).</w:t>
      </w:r>
    </w:p>
    <w:p w14:paraId="4175C0A6" w14:textId="77777777" w:rsidR="005749FC" w:rsidRPr="005C7B21" w:rsidRDefault="005749FC" w:rsidP="005C7B21">
      <w:pPr>
        <w:jc w:val="both"/>
        <w:rPr>
          <w:highlight w:val="yellow"/>
        </w:rPr>
      </w:pPr>
    </w:p>
    <w:p w14:paraId="6BA943F7" w14:textId="2AB3F47E" w:rsidR="005749FC" w:rsidRPr="001A1C2B" w:rsidRDefault="005749FC" w:rsidP="005C7B21">
      <w:pPr>
        <w:tabs>
          <w:tab w:val="left" w:pos="567"/>
        </w:tabs>
        <w:jc w:val="both"/>
      </w:pPr>
      <w:r w:rsidRPr="001A1C2B">
        <w:t>Диагностическая чувствительность при исследовании мазков из носа: 9</w:t>
      </w:r>
      <w:r w:rsidR="00457B69" w:rsidRPr="00457B69">
        <w:t>2</w:t>
      </w:r>
      <w:r w:rsidRPr="001A1C2B">
        <w:t>,</w:t>
      </w:r>
      <w:r w:rsidR="00457B69" w:rsidRPr="00457B69">
        <w:t>11</w:t>
      </w:r>
      <w:r w:rsidRPr="001A1C2B">
        <w:t xml:space="preserve">% (95% ДИ </w:t>
      </w:r>
      <w:r w:rsidR="00457B69" w:rsidRPr="00457B69">
        <w:t>78</w:t>
      </w:r>
      <w:r w:rsidRPr="001A1C2B">
        <w:t>,</w:t>
      </w:r>
      <w:r w:rsidR="00457B69" w:rsidRPr="00457B69">
        <w:t>6</w:t>
      </w:r>
      <w:r w:rsidR="00184A54" w:rsidRPr="00184A54">
        <w:t>2</w:t>
      </w:r>
      <w:r w:rsidRPr="001A1C2B">
        <w:t>-9</w:t>
      </w:r>
      <w:r w:rsidR="00184A54" w:rsidRPr="00184A54">
        <w:t>8</w:t>
      </w:r>
      <w:r w:rsidRPr="001A1C2B">
        <w:t>,</w:t>
      </w:r>
      <w:r w:rsidR="00184A54" w:rsidRPr="00184A54">
        <w:t>3</w:t>
      </w:r>
      <w:r w:rsidR="001A1C2B" w:rsidRPr="001A1C2B">
        <w:t>4</w:t>
      </w:r>
      <w:r w:rsidRPr="001A1C2B">
        <w:t>%).</w:t>
      </w:r>
    </w:p>
    <w:p w14:paraId="57A15683" w14:textId="0F867780" w:rsidR="005749FC" w:rsidRPr="001A1C2B" w:rsidRDefault="005749FC" w:rsidP="005C7B21">
      <w:pPr>
        <w:tabs>
          <w:tab w:val="left" w:pos="567"/>
        </w:tabs>
        <w:jc w:val="both"/>
      </w:pPr>
      <w:r w:rsidRPr="001A1C2B">
        <w:t>Диагностическая специфичность при исследовании мазков из носа: 100,00% (95% ДИ 9</w:t>
      </w:r>
      <w:r w:rsidR="00184A54" w:rsidRPr="00184A54">
        <w:t>0</w:t>
      </w:r>
      <w:r w:rsidRPr="001A1C2B">
        <w:t>,</w:t>
      </w:r>
      <w:r w:rsidR="00184A54" w:rsidRPr="00184A54">
        <w:t>00</w:t>
      </w:r>
      <w:r w:rsidRPr="001A1C2B">
        <w:t>-100,00%).</w:t>
      </w:r>
    </w:p>
    <w:p w14:paraId="52C2053B" w14:textId="44923AE5" w:rsidR="001A1C2B" w:rsidRPr="001A1C2B" w:rsidRDefault="005749FC" w:rsidP="005C7B21">
      <w:pPr>
        <w:tabs>
          <w:tab w:val="left" w:pos="567"/>
        </w:tabs>
        <w:jc w:val="both"/>
      </w:pPr>
      <w:r w:rsidRPr="001A1C2B">
        <w:t xml:space="preserve">Диагностическая чувствительность при исследовании слюны: </w:t>
      </w:r>
      <w:r w:rsidR="001A1C2B" w:rsidRPr="001A1C2B">
        <w:t>9</w:t>
      </w:r>
      <w:r w:rsidR="00184A54" w:rsidRPr="00184A54">
        <w:t>4</w:t>
      </w:r>
      <w:r w:rsidR="001A1C2B" w:rsidRPr="001A1C2B">
        <w:t>,</w:t>
      </w:r>
      <w:r w:rsidR="00184A54" w:rsidRPr="00184A54">
        <w:t>59</w:t>
      </w:r>
      <w:r w:rsidR="001A1C2B" w:rsidRPr="001A1C2B">
        <w:t xml:space="preserve">% (95% ДИ </w:t>
      </w:r>
      <w:r w:rsidR="00184A54" w:rsidRPr="00184A54">
        <w:t>81</w:t>
      </w:r>
      <w:r w:rsidR="001A1C2B" w:rsidRPr="001A1C2B">
        <w:t>,</w:t>
      </w:r>
      <w:r w:rsidR="00184A54" w:rsidRPr="00184A54">
        <w:t>81</w:t>
      </w:r>
      <w:r w:rsidR="001A1C2B" w:rsidRPr="001A1C2B">
        <w:t>-99,</w:t>
      </w:r>
      <w:r w:rsidR="00184A54" w:rsidRPr="00184A54">
        <w:t>34</w:t>
      </w:r>
      <w:r w:rsidR="001A1C2B" w:rsidRPr="001A1C2B">
        <w:t>%).</w:t>
      </w:r>
    </w:p>
    <w:p w14:paraId="39DEE1C9" w14:textId="0F584453" w:rsidR="005749FC" w:rsidRDefault="005749FC" w:rsidP="005C7B21">
      <w:pPr>
        <w:tabs>
          <w:tab w:val="left" w:pos="567"/>
        </w:tabs>
        <w:jc w:val="both"/>
      </w:pPr>
      <w:r w:rsidRPr="001A1C2B">
        <w:t>Диагностическая специфичность при исследовании слюны: 100,00% (95% ДИ 9</w:t>
      </w:r>
      <w:r w:rsidR="00184A54" w:rsidRPr="00184A54">
        <w:t>0</w:t>
      </w:r>
      <w:r w:rsidRPr="001A1C2B">
        <w:t>,</w:t>
      </w:r>
      <w:r w:rsidR="00184A54" w:rsidRPr="00184A54">
        <w:t>0</w:t>
      </w:r>
      <w:r w:rsidR="00184A54" w:rsidRPr="0064446F">
        <w:t>0</w:t>
      </w:r>
      <w:r w:rsidRPr="001A1C2B">
        <w:t>-100,00%).</w:t>
      </w:r>
    </w:p>
    <w:p w14:paraId="22E2625E" w14:textId="5C5F7047" w:rsidR="006A607D" w:rsidRPr="00245F90" w:rsidRDefault="006A607D" w:rsidP="005C7B21">
      <w:pPr>
        <w:jc w:val="both"/>
        <w:rPr>
          <w:bCs/>
        </w:rPr>
      </w:pPr>
    </w:p>
    <w:p w14:paraId="1F88232C" w14:textId="6C1A32FC" w:rsidR="00EE25E7" w:rsidRPr="00245F90" w:rsidRDefault="00245F90" w:rsidP="00A87307">
      <w:pPr>
        <w:rPr>
          <w:bCs/>
        </w:rPr>
      </w:pPr>
      <w:r w:rsidRPr="00245F90">
        <w:rPr>
          <w:b/>
        </w:rPr>
        <w:t>Х</w:t>
      </w:r>
      <w:r w:rsidRPr="00245F90">
        <w:rPr>
          <w:b/>
          <w:lang w:val="en-US"/>
        </w:rPr>
        <w:t>VIII</w:t>
      </w:r>
      <w:r w:rsidRPr="00245F90">
        <w:rPr>
          <w:b/>
        </w:rPr>
        <w:t>.</w:t>
      </w:r>
      <w:r w:rsidRPr="00245F90">
        <w:rPr>
          <w:bCs/>
        </w:rPr>
        <w:t xml:space="preserve"> </w:t>
      </w:r>
      <w:r w:rsidR="00EE25E7" w:rsidRPr="00245F90">
        <w:rPr>
          <w:b/>
        </w:rPr>
        <w:t>Меры предосторожности и безопасность</w:t>
      </w:r>
    </w:p>
    <w:p w14:paraId="277C4561" w14:textId="77777777" w:rsidR="00EE25E7" w:rsidRPr="00245F90" w:rsidRDefault="00EE25E7" w:rsidP="00A87307"/>
    <w:p w14:paraId="5B588772" w14:textId="50A05A63" w:rsidR="00EE25E7" w:rsidRPr="00245F90" w:rsidRDefault="00EE25E7" w:rsidP="00A87307">
      <w:pPr>
        <w:pStyle w:val="a5"/>
        <w:numPr>
          <w:ilvl w:val="0"/>
          <w:numId w:val="4"/>
        </w:numPr>
        <w:spacing w:after="0" w:line="240" w:lineRule="auto"/>
        <w:ind w:right="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5F90">
        <w:rPr>
          <w:rFonts w:ascii="Times New Roman" w:hAnsi="Times New Roman" w:cs="Times New Roman"/>
          <w:sz w:val="24"/>
          <w:szCs w:val="24"/>
        </w:rPr>
        <w:t>Перед применением внимательно изучите настоящую инструкцию.</w:t>
      </w:r>
    </w:p>
    <w:p w14:paraId="34C29418" w14:textId="6F0B2DA6" w:rsidR="00EE25E7" w:rsidRPr="00245F90" w:rsidRDefault="00EE25E7" w:rsidP="00A87307">
      <w:pPr>
        <w:pStyle w:val="a5"/>
        <w:numPr>
          <w:ilvl w:val="0"/>
          <w:numId w:val="4"/>
        </w:numPr>
        <w:spacing w:after="0" w:line="240" w:lineRule="auto"/>
        <w:ind w:right="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5F90">
        <w:rPr>
          <w:rFonts w:ascii="Times New Roman" w:hAnsi="Times New Roman" w:cs="Times New Roman"/>
          <w:sz w:val="24"/>
          <w:szCs w:val="24"/>
        </w:rPr>
        <w:t xml:space="preserve">Категорически запрещается использовать </w:t>
      </w:r>
      <w:r w:rsidR="008030AA" w:rsidRPr="00245F90">
        <w:rPr>
          <w:rFonts w:ascii="Times New Roman" w:hAnsi="Times New Roman" w:cs="Times New Roman"/>
          <w:sz w:val="24"/>
          <w:szCs w:val="24"/>
        </w:rPr>
        <w:t>набор</w:t>
      </w:r>
      <w:r w:rsidRPr="00245F90">
        <w:rPr>
          <w:rFonts w:ascii="Times New Roman" w:hAnsi="Times New Roman" w:cs="Times New Roman"/>
          <w:sz w:val="24"/>
          <w:szCs w:val="24"/>
        </w:rPr>
        <w:t xml:space="preserve"> в случае нарушения целостности упаковки.</w:t>
      </w:r>
    </w:p>
    <w:p w14:paraId="27B837C2" w14:textId="3FE5D2BB" w:rsidR="00EE25E7" w:rsidRPr="00245F90" w:rsidRDefault="00EE25E7" w:rsidP="00A87307">
      <w:pPr>
        <w:numPr>
          <w:ilvl w:val="0"/>
          <w:numId w:val="4"/>
        </w:numPr>
        <w:ind w:right="43"/>
        <w:jc w:val="both"/>
      </w:pPr>
      <w:r w:rsidRPr="00245F90">
        <w:t xml:space="preserve">Этот набор </w:t>
      </w:r>
      <w:r w:rsidR="00920FD8" w:rsidRPr="00245F90">
        <w:t>предназначен</w:t>
      </w:r>
      <w:r w:rsidRPr="00245F90">
        <w:t xml:space="preserve"> только</w:t>
      </w:r>
      <w:r w:rsidR="00B35E6A" w:rsidRPr="00245F90">
        <w:t xml:space="preserve"> для профессионального использования,</w:t>
      </w:r>
      <w:r w:rsidRPr="00245F90">
        <w:t xml:space="preserve"> </w:t>
      </w:r>
      <w:r w:rsidR="004202C6">
        <w:t xml:space="preserve">процедура тестирования </w:t>
      </w:r>
      <w:r w:rsidRPr="00245F90">
        <w:t>должна выполняться в строгом соответствии с инструкциями. Убедитесь, что срок действия теста не истек (дата указана на коробке с набором). Тест-кассету нельзя использовать повторно.</w:t>
      </w:r>
    </w:p>
    <w:p w14:paraId="613FDB8D" w14:textId="77777777" w:rsidR="00EE25E7" w:rsidRPr="00245F90" w:rsidRDefault="00EE25E7" w:rsidP="00A87307">
      <w:pPr>
        <w:numPr>
          <w:ilvl w:val="0"/>
          <w:numId w:val="4"/>
        </w:numPr>
        <w:ind w:right="43"/>
        <w:jc w:val="both"/>
      </w:pPr>
      <w:r w:rsidRPr="00245F90">
        <w:t>Не ешьте, не пейте и не курите в зоне работы с образцами и реагентами набора. Избегайте любого контакта между руками, глазами или ртом во время сбора образцов и тестирования.</w:t>
      </w:r>
    </w:p>
    <w:p w14:paraId="69D69466" w14:textId="7E6BEF64" w:rsidR="00EE25E7" w:rsidRPr="00245F90" w:rsidRDefault="00EE25E7" w:rsidP="00A87307">
      <w:pPr>
        <w:numPr>
          <w:ilvl w:val="0"/>
          <w:numId w:val="4"/>
        </w:numPr>
        <w:ind w:right="43"/>
        <w:jc w:val="both"/>
      </w:pPr>
      <w:r w:rsidRPr="00245F90">
        <w:t>При работе с образцами пациентов надевайте защитную одежду</w:t>
      </w:r>
      <w:r w:rsidR="00920FD8" w:rsidRPr="00245F90">
        <w:t xml:space="preserve"> (медицинские </w:t>
      </w:r>
      <w:r w:rsidRPr="00245F90">
        <w:t>халаты, одноразовые перчатки и защитные очки</w:t>
      </w:r>
      <w:r w:rsidR="00920FD8" w:rsidRPr="00245F90">
        <w:t>)</w:t>
      </w:r>
      <w:r w:rsidRPr="00245F90">
        <w:t>. После работы с образцами и реагентами из набора тщательно мойте руки.</w:t>
      </w:r>
    </w:p>
    <w:p w14:paraId="1719D85A" w14:textId="325D4EB7" w:rsidR="00EE25E7" w:rsidRPr="00245F90" w:rsidRDefault="00A825E7" w:rsidP="00A87307">
      <w:pPr>
        <w:numPr>
          <w:ilvl w:val="0"/>
          <w:numId w:val="4"/>
        </w:numPr>
        <w:ind w:right="43"/>
        <w:jc w:val="both"/>
      </w:pPr>
      <w:r>
        <w:t>Набор реагентов</w:t>
      </w:r>
      <w:r w:rsidR="00EE25E7" w:rsidRPr="00245F90">
        <w:t xml:space="preserve"> </w:t>
      </w:r>
      <w:r w:rsidRPr="00245F90">
        <w:t xml:space="preserve">для тестирования </w:t>
      </w:r>
      <w:r w:rsidR="00EE25E7" w:rsidRPr="00245F90">
        <w:t>долж</w:t>
      </w:r>
      <w:r>
        <w:t>е</w:t>
      </w:r>
      <w:r w:rsidR="00EE25E7" w:rsidRPr="00245F90">
        <w:t xml:space="preserve">н находиться при комнатной температуре </w:t>
      </w:r>
      <w:r>
        <w:t xml:space="preserve">(плюс 15-30 </w:t>
      </w:r>
      <w:r w:rsidRPr="00245F90">
        <w:t>°C</w:t>
      </w:r>
      <w:r>
        <w:t>)</w:t>
      </w:r>
      <w:r w:rsidR="00EE25E7" w:rsidRPr="00245F90">
        <w:t>. Тест-кассету следует использовать в течение 30 минут после извлечения из упаковки, чтобы избежать длительного воздействия влажного воздуха (</w:t>
      </w:r>
      <w:proofErr w:type="gramStart"/>
      <w:r w:rsidR="00EE25E7" w:rsidRPr="00245F90">
        <w:t>влажность</w:t>
      </w:r>
      <w:r>
        <w:t xml:space="preserve"> </w:t>
      </w:r>
      <w:r w:rsidR="00EE25E7" w:rsidRPr="00245F90">
        <w:t>&gt;</w:t>
      </w:r>
      <w:proofErr w:type="gramEnd"/>
      <w:r w:rsidR="00EE25E7" w:rsidRPr="00245F90">
        <w:t xml:space="preserve"> 60</w:t>
      </w:r>
      <w:r>
        <w:t xml:space="preserve"> </w:t>
      </w:r>
      <w:r w:rsidR="00EE25E7" w:rsidRPr="00245F90">
        <w:t xml:space="preserve">%), которое может повлиять на результат теста. Если набор хранится при 2-8 °C, </w:t>
      </w:r>
      <w:r>
        <w:t xml:space="preserve">тест-кассета и буферный раствор для экстракции </w:t>
      </w:r>
      <w:r w:rsidR="00EE25E7" w:rsidRPr="00245F90">
        <w:t>должны быть доведены до комнатной температуры перед тестированием.</w:t>
      </w:r>
    </w:p>
    <w:p w14:paraId="558DA9E5" w14:textId="14ADEF14" w:rsidR="00EE25E7" w:rsidRPr="00245F90" w:rsidRDefault="00EE25E7" w:rsidP="00A87307">
      <w:pPr>
        <w:numPr>
          <w:ilvl w:val="0"/>
          <w:numId w:val="4"/>
        </w:numPr>
        <w:ind w:right="43"/>
        <w:jc w:val="both"/>
      </w:pPr>
      <w:r w:rsidRPr="00245F90">
        <w:t>Во время тестирования тест-кассету следует положить на стол</w:t>
      </w:r>
      <w:r w:rsidR="00A825E7">
        <w:t xml:space="preserve"> и не перемещать</w:t>
      </w:r>
      <w:r w:rsidRPr="00245F90">
        <w:t xml:space="preserve">, чтобы не </w:t>
      </w:r>
      <w:r w:rsidR="00A825E7">
        <w:t>влиять на</w:t>
      </w:r>
      <w:r w:rsidRPr="00245F90">
        <w:t xml:space="preserve"> скорость бокового потока образца и</w:t>
      </w:r>
      <w:r w:rsidR="00A825E7">
        <w:t xml:space="preserve">, соответственно, </w:t>
      </w:r>
      <w:r w:rsidRPr="00245F90">
        <w:t>на результат теста.</w:t>
      </w:r>
    </w:p>
    <w:p w14:paraId="545D96E8" w14:textId="69AF016F" w:rsidR="00EE25E7" w:rsidRPr="00245F90" w:rsidRDefault="00EE25E7" w:rsidP="00A87307">
      <w:pPr>
        <w:numPr>
          <w:ilvl w:val="0"/>
          <w:numId w:val="4"/>
        </w:numPr>
        <w:ind w:right="43"/>
        <w:jc w:val="both"/>
      </w:pPr>
      <w:r w:rsidRPr="00245F90">
        <w:lastRenderedPageBreak/>
        <w:t>Результаты, полученные с помощью данного теста, следует интерпретировать только в сочетании с клиническими данными и результатами других лабораторных исследований.</w:t>
      </w:r>
    </w:p>
    <w:p w14:paraId="25731920" w14:textId="2D061E87" w:rsidR="00EE25E7" w:rsidRPr="00245F90" w:rsidRDefault="00EE25E7" w:rsidP="00A87307">
      <w:pPr>
        <w:numPr>
          <w:ilvl w:val="0"/>
          <w:numId w:val="4"/>
        </w:numPr>
        <w:ind w:right="43"/>
        <w:jc w:val="both"/>
      </w:pPr>
      <w:r w:rsidRPr="00245F90">
        <w:t>Не ешьте и не используйте продукты для полости</w:t>
      </w:r>
      <w:r w:rsidR="001038E3" w:rsidRPr="00245F90">
        <w:t>:</w:t>
      </w:r>
      <w:r w:rsidRPr="00245F90">
        <w:t xml:space="preserve"> рта (такие как зубная паста или жидкость для полоскания рта) в течение как минимум 30 минут до взятия образца слюны, иначе это может привести к неверным результатам.</w:t>
      </w:r>
    </w:p>
    <w:p w14:paraId="4B97A81B" w14:textId="77777777" w:rsidR="00EE25E7" w:rsidRPr="00245F90" w:rsidRDefault="00EE25E7" w:rsidP="00A87307">
      <w:pPr>
        <w:numPr>
          <w:ilvl w:val="0"/>
          <w:numId w:val="4"/>
        </w:numPr>
        <w:ind w:right="43"/>
        <w:jc w:val="both"/>
      </w:pPr>
      <w:r w:rsidRPr="00245F90">
        <w:t xml:space="preserve">Считайте результат теста через 15 минут после загрузки образца, но не более чем через 30 минут. </w:t>
      </w:r>
    </w:p>
    <w:p w14:paraId="1418F897" w14:textId="51D344C2" w:rsidR="00EE25E7" w:rsidRPr="00245F90" w:rsidRDefault="00EE25E7" w:rsidP="00A87307">
      <w:pPr>
        <w:numPr>
          <w:ilvl w:val="0"/>
          <w:numId w:val="4"/>
        </w:numPr>
        <w:ind w:right="43"/>
        <w:jc w:val="both"/>
      </w:pPr>
      <w:r w:rsidRPr="00245F90">
        <w:t>Не изменяйте процедуру</w:t>
      </w:r>
      <w:r w:rsidR="00ED279B">
        <w:t xml:space="preserve"> проведения анализа</w:t>
      </w:r>
      <w:r w:rsidRPr="00245F90">
        <w:t>.</w:t>
      </w:r>
    </w:p>
    <w:p w14:paraId="48436000" w14:textId="5EA932F4" w:rsidR="001038E3" w:rsidRPr="00245F90" w:rsidRDefault="001038E3" w:rsidP="00A87307">
      <w:pPr>
        <w:numPr>
          <w:ilvl w:val="0"/>
          <w:numId w:val="4"/>
        </w:numPr>
        <w:ind w:right="43"/>
        <w:jc w:val="both"/>
      </w:pPr>
      <w:r w:rsidRPr="00245F90">
        <w:t xml:space="preserve">Не используйте </w:t>
      </w:r>
      <w:r w:rsidR="00A825E7" w:rsidRPr="00A825E7">
        <w:t xml:space="preserve">зонд-тампон для взятия образцов </w:t>
      </w:r>
      <w:r w:rsidRPr="00245F90">
        <w:t>в случае нарушения целостности упаковки.</w:t>
      </w:r>
    </w:p>
    <w:p w14:paraId="13A4A001" w14:textId="77777777" w:rsidR="009E5604" w:rsidRPr="00245F90" w:rsidRDefault="009E5604" w:rsidP="00A87307">
      <w:pPr>
        <w:ind w:right="84"/>
        <w:jc w:val="both"/>
      </w:pPr>
    </w:p>
    <w:p w14:paraId="177D8713" w14:textId="76366DDD" w:rsidR="00777F9A" w:rsidRPr="00245F90" w:rsidRDefault="0029725C" w:rsidP="00A87307">
      <w:pPr>
        <w:jc w:val="both"/>
        <w:rPr>
          <w:b/>
        </w:rPr>
      </w:pPr>
      <w:r w:rsidRPr="00245F90">
        <w:rPr>
          <w:b/>
          <w:lang w:val="en-US"/>
        </w:rPr>
        <w:t>X</w:t>
      </w:r>
      <w:r w:rsidR="0062496A">
        <w:rPr>
          <w:b/>
          <w:lang w:val="en-US"/>
        </w:rPr>
        <w:t>IX</w:t>
      </w:r>
      <w:r w:rsidRPr="00245F90">
        <w:rPr>
          <w:b/>
        </w:rPr>
        <w:t xml:space="preserve">. </w:t>
      </w:r>
      <w:r w:rsidR="00777F9A" w:rsidRPr="00245F90">
        <w:rPr>
          <w:b/>
        </w:rPr>
        <w:t>Срок годности набора</w:t>
      </w:r>
      <w:r w:rsidR="00920FD8" w:rsidRPr="00245F90">
        <w:rPr>
          <w:b/>
        </w:rPr>
        <w:t xml:space="preserve"> реагентов</w:t>
      </w:r>
    </w:p>
    <w:p w14:paraId="618FF3A0" w14:textId="77777777" w:rsidR="00EF5835" w:rsidRDefault="00EF5835" w:rsidP="00A87307">
      <w:pPr>
        <w:jc w:val="both"/>
      </w:pPr>
    </w:p>
    <w:p w14:paraId="45B39BB9" w14:textId="54914B5A" w:rsidR="00777F9A" w:rsidRPr="00245F90" w:rsidRDefault="00777F9A" w:rsidP="00A87307">
      <w:pPr>
        <w:jc w:val="both"/>
      </w:pPr>
      <w:r w:rsidRPr="00245F90">
        <w:t>Срок годности набора реагентов 1</w:t>
      </w:r>
      <w:r w:rsidR="008030AA" w:rsidRPr="00245F90">
        <w:t>8</w:t>
      </w:r>
      <w:r w:rsidRPr="00245F90">
        <w:t xml:space="preserve"> месяцев. </w:t>
      </w:r>
      <w:r w:rsidR="002D083E">
        <w:t xml:space="preserve">Вскрытые компоненты набора реагентов хранить и использовать в соответствии с условиями применения изделия (раздел ХХ настоящей инструкции). </w:t>
      </w:r>
      <w:r w:rsidRPr="00245F90">
        <w:t>Наборы с истекшим сроком годности использованию не подлежат.</w:t>
      </w:r>
    </w:p>
    <w:p w14:paraId="2C32E489" w14:textId="726421B3" w:rsidR="00920FD8" w:rsidRDefault="00920FD8" w:rsidP="00A87307">
      <w:pPr>
        <w:jc w:val="both"/>
      </w:pPr>
    </w:p>
    <w:p w14:paraId="42D40FE3" w14:textId="41706432" w:rsidR="000F18FC" w:rsidRPr="00EF5835" w:rsidRDefault="007216AD" w:rsidP="00EF5835">
      <w:pPr>
        <w:jc w:val="both"/>
        <w:rPr>
          <w:b/>
          <w:bCs/>
        </w:rPr>
      </w:pPr>
      <w:r w:rsidRPr="00EF5835">
        <w:rPr>
          <w:b/>
          <w:bCs/>
        </w:rPr>
        <w:t>Х</w:t>
      </w:r>
      <w:r w:rsidR="00086CA2" w:rsidRPr="00EF5835">
        <w:rPr>
          <w:b/>
          <w:bCs/>
        </w:rPr>
        <w:t>Х</w:t>
      </w:r>
      <w:r w:rsidR="003115BA" w:rsidRPr="00EF5835">
        <w:rPr>
          <w:b/>
          <w:bCs/>
        </w:rPr>
        <w:t>.</w:t>
      </w:r>
      <w:r w:rsidR="00F10FB6" w:rsidRPr="00EF5835">
        <w:rPr>
          <w:b/>
          <w:bCs/>
        </w:rPr>
        <w:t xml:space="preserve"> Условия применения, хранения и транспортировки</w:t>
      </w:r>
      <w:r w:rsidR="002D083E">
        <w:rPr>
          <w:b/>
          <w:bCs/>
        </w:rPr>
        <w:t xml:space="preserve"> изделия</w:t>
      </w:r>
    </w:p>
    <w:p w14:paraId="081A212C" w14:textId="77777777" w:rsidR="00EF5835" w:rsidRPr="00EF5835" w:rsidRDefault="00EF5835" w:rsidP="00EF5835">
      <w:pPr>
        <w:jc w:val="both"/>
      </w:pPr>
    </w:p>
    <w:p w14:paraId="6381C291" w14:textId="77777777" w:rsidR="00BC5E27" w:rsidRPr="00EF5835" w:rsidRDefault="00BC5E27" w:rsidP="00EF5835">
      <w:pPr>
        <w:jc w:val="both"/>
        <w:rPr>
          <w:b/>
          <w:bCs/>
          <w:i/>
          <w:iCs/>
        </w:rPr>
      </w:pPr>
      <w:r w:rsidRPr="00EF5835">
        <w:rPr>
          <w:b/>
          <w:bCs/>
          <w:i/>
          <w:iCs/>
        </w:rPr>
        <w:t>Условия применения</w:t>
      </w:r>
    </w:p>
    <w:p w14:paraId="0412284B" w14:textId="3101AA22" w:rsidR="00BC5E27" w:rsidRPr="00EF5835" w:rsidRDefault="00BC5E27" w:rsidP="00EF5835">
      <w:pPr>
        <w:jc w:val="both"/>
      </w:pPr>
      <w:r w:rsidRPr="00EF5835">
        <w:t>Тест-кассету следует использовать в течение 30 минут после извлечения из упаковки, чтобы избежать длительного воздействия влажного воздуха (</w:t>
      </w:r>
      <w:proofErr w:type="gramStart"/>
      <w:r w:rsidRPr="00EF5835">
        <w:t>влажность</w:t>
      </w:r>
      <w:r w:rsidR="00EF5835">
        <w:t xml:space="preserve"> </w:t>
      </w:r>
      <w:r w:rsidRPr="00EF5835">
        <w:t>&gt;</w:t>
      </w:r>
      <w:proofErr w:type="gramEnd"/>
      <w:r w:rsidRPr="00EF5835">
        <w:t xml:space="preserve"> 60%), которое может повлиять на результат теста. </w:t>
      </w:r>
      <w:r w:rsidR="008F4B15" w:rsidRPr="008F4B15">
        <w:t>Пробирк</w:t>
      </w:r>
      <w:r w:rsidR="008F4B15">
        <w:t>у</w:t>
      </w:r>
      <w:r w:rsidR="008F4B15" w:rsidRPr="008F4B15">
        <w:t xml:space="preserve"> с буферным раствором для экстракции </w:t>
      </w:r>
      <w:r w:rsidR="008F4B15">
        <w:t xml:space="preserve">следует открывать непосредственно перед использованием. </w:t>
      </w:r>
      <w:r w:rsidRPr="00EF5835">
        <w:t xml:space="preserve">Если набор хранится при 2-8 °C, </w:t>
      </w:r>
      <w:r w:rsidR="00EF5835">
        <w:t>он</w:t>
      </w:r>
      <w:r w:rsidRPr="00EF5835">
        <w:t xml:space="preserve"> долж</w:t>
      </w:r>
      <w:r w:rsidR="00EF5835">
        <w:t>ен</w:t>
      </w:r>
      <w:r w:rsidRPr="00EF5835">
        <w:t xml:space="preserve"> быть доведен до температуры </w:t>
      </w:r>
      <w:r w:rsidR="00EF5835" w:rsidRPr="00EF5835">
        <w:t>окружающей среды</w:t>
      </w:r>
      <w:r w:rsidR="00EF5835">
        <w:t xml:space="preserve"> (</w:t>
      </w:r>
      <w:r w:rsidR="00EF5835" w:rsidRPr="00EF5835">
        <w:t>от 15 до 30 °C</w:t>
      </w:r>
      <w:r w:rsidR="00EF5835">
        <w:t>)</w:t>
      </w:r>
      <w:r w:rsidR="00EF5835" w:rsidRPr="00EF5835">
        <w:t xml:space="preserve"> </w:t>
      </w:r>
      <w:r w:rsidRPr="00EF5835">
        <w:t>перед тестированием.</w:t>
      </w:r>
    </w:p>
    <w:p w14:paraId="73D3B0E6" w14:textId="77777777" w:rsidR="00BC5E27" w:rsidRPr="00EF5835" w:rsidRDefault="00BC5E27" w:rsidP="00EF5835">
      <w:pPr>
        <w:jc w:val="both"/>
      </w:pPr>
    </w:p>
    <w:p w14:paraId="1B3669EF" w14:textId="7B55A7AD" w:rsidR="00BC5E27" w:rsidRPr="00EF5835" w:rsidRDefault="00BC5E27" w:rsidP="00EF5835">
      <w:pPr>
        <w:jc w:val="both"/>
        <w:rPr>
          <w:b/>
          <w:bCs/>
          <w:i/>
          <w:iCs/>
        </w:rPr>
      </w:pPr>
      <w:r w:rsidRPr="00EF5835">
        <w:rPr>
          <w:b/>
          <w:bCs/>
          <w:i/>
          <w:iCs/>
        </w:rPr>
        <w:t>Условия хранения</w:t>
      </w:r>
    </w:p>
    <w:p w14:paraId="118AAB67" w14:textId="2DF8E614" w:rsidR="00BC5E27" w:rsidRPr="00EF5835" w:rsidRDefault="00BC5E27" w:rsidP="00EF5835">
      <w:pPr>
        <w:jc w:val="both"/>
      </w:pPr>
      <w:r w:rsidRPr="00EF5835">
        <w:t xml:space="preserve">Хранить набор при температуре от 2 °C до 30 °C. Избегайте попадания прямых солнечных лучей. </w:t>
      </w:r>
      <w:r w:rsidR="00562245">
        <w:t>Невскрытые к</w:t>
      </w:r>
      <w:r w:rsidRPr="00EF5835">
        <w:t>омпоненты набора стабильны до истечения срока годности, указанного на упаковке. Не замораживать.</w:t>
      </w:r>
    </w:p>
    <w:p w14:paraId="0FDE3D07" w14:textId="77777777" w:rsidR="00BC5E27" w:rsidRPr="00EF5835" w:rsidRDefault="00BC5E27" w:rsidP="00EF5835">
      <w:pPr>
        <w:jc w:val="both"/>
      </w:pPr>
    </w:p>
    <w:p w14:paraId="5BD7E845" w14:textId="77777777" w:rsidR="00BC5E27" w:rsidRPr="00EF5835" w:rsidRDefault="00BC5E27" w:rsidP="00EF5835">
      <w:pPr>
        <w:jc w:val="both"/>
        <w:rPr>
          <w:b/>
          <w:bCs/>
          <w:i/>
          <w:iCs/>
        </w:rPr>
      </w:pPr>
      <w:r w:rsidRPr="00EF5835">
        <w:rPr>
          <w:b/>
          <w:bCs/>
          <w:i/>
          <w:iCs/>
        </w:rPr>
        <w:t>Условия транспортировки</w:t>
      </w:r>
    </w:p>
    <w:p w14:paraId="04F677C9" w14:textId="023F4073" w:rsidR="00BC5E27" w:rsidRPr="00EF5835" w:rsidRDefault="00BC5E27" w:rsidP="00EF5835">
      <w:pPr>
        <w:jc w:val="both"/>
      </w:pPr>
      <w:r w:rsidRPr="00EF5835">
        <w:t>Температура окружающей среды: при температуре от 2 °C до 30 °C</w:t>
      </w:r>
      <w:r w:rsidR="00B50C56">
        <w:t>.</w:t>
      </w:r>
    </w:p>
    <w:p w14:paraId="42580967" w14:textId="392B272B" w:rsidR="00BC5E27" w:rsidRPr="00EF5835" w:rsidRDefault="00BC5E27" w:rsidP="00EF5835">
      <w:pPr>
        <w:jc w:val="both"/>
      </w:pPr>
      <w:r w:rsidRPr="00EF5835">
        <w:t>Транспортировать изделия следует транспортом всех видов в крытых транспортных средствах в соответствии с правилами перевозок, действующими на транспорте данного вида, в упаковке производителя при температуре 2 °C до 30 °C, без замораживания.</w:t>
      </w:r>
    </w:p>
    <w:p w14:paraId="21C2D231" w14:textId="4A066F47" w:rsidR="00BC5E27" w:rsidRPr="00EF5835" w:rsidRDefault="00BC5E27" w:rsidP="00AB2261">
      <w:pPr>
        <w:jc w:val="both"/>
      </w:pPr>
    </w:p>
    <w:p w14:paraId="1E2D74AF" w14:textId="771F50A6" w:rsidR="00BC5E27" w:rsidRPr="0046671D" w:rsidRDefault="00BC5E27" w:rsidP="00AB2261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  <w:lang w:val="en-US"/>
        </w:rPr>
        <w:t>XX</w:t>
      </w:r>
      <w:r w:rsidR="00324230">
        <w:rPr>
          <w:b/>
          <w:bCs/>
          <w:lang w:val="en-US"/>
        </w:rPr>
        <w:t>I</w:t>
      </w:r>
      <w:r w:rsidRPr="0062496A">
        <w:rPr>
          <w:b/>
          <w:bCs/>
        </w:rPr>
        <w:t xml:space="preserve">. </w:t>
      </w:r>
      <w:r w:rsidRPr="0046671D">
        <w:rPr>
          <w:b/>
          <w:bCs/>
        </w:rPr>
        <w:t>Порядок утилизации или уничтожения медицинского изделия</w:t>
      </w:r>
    </w:p>
    <w:p w14:paraId="50E21459" w14:textId="77777777" w:rsidR="00BC5E27" w:rsidRDefault="00BC5E27" w:rsidP="00AB2261">
      <w:pPr>
        <w:tabs>
          <w:tab w:val="left" w:pos="567"/>
        </w:tabs>
        <w:jc w:val="both"/>
      </w:pPr>
    </w:p>
    <w:p w14:paraId="0C336BB5" w14:textId="77777777" w:rsidR="00BC5E27" w:rsidRDefault="00BC5E27" w:rsidP="00AB2261">
      <w:pPr>
        <w:tabs>
          <w:tab w:val="left" w:pos="567"/>
        </w:tabs>
        <w:jc w:val="both"/>
      </w:pPr>
      <w:r>
        <w:t>Утилизация медицинского изделия должна проводиться согласно действующему законодательству.</w:t>
      </w:r>
    </w:p>
    <w:p w14:paraId="2BB7BC46" w14:textId="77777777" w:rsidR="00BC5E27" w:rsidRDefault="00BC5E27" w:rsidP="00AB2261">
      <w:pPr>
        <w:tabs>
          <w:tab w:val="left" w:pos="567"/>
        </w:tabs>
        <w:jc w:val="both"/>
      </w:pPr>
      <w:r>
        <w:t>На территории Российской Федерации п</w:t>
      </w:r>
      <w:r w:rsidRPr="00DE2260">
        <w:t xml:space="preserve">ри использовании медицинского изделия образуются отходы, которые уничтожаются (утилизируются) </w:t>
      </w:r>
      <w:r>
        <w:t xml:space="preserve">в соответствии с </w:t>
      </w:r>
      <w:r w:rsidRPr="00DE2260">
        <w:t>СанПиН 2.1.3684-21</w:t>
      </w:r>
      <w:r>
        <w:t xml:space="preserve"> </w:t>
      </w:r>
      <w:r w:rsidRPr="00A772D8"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r>
        <w:t xml:space="preserve"> Упаковка набора реагентов </w:t>
      </w:r>
      <w:r w:rsidRPr="00DE2260">
        <w:t>подлеж</w:t>
      </w:r>
      <w:r>
        <w:t>и</w:t>
      </w:r>
      <w:r w:rsidRPr="00DE2260">
        <w:t xml:space="preserve">т уничтожению </w:t>
      </w:r>
      <w:proofErr w:type="gramStart"/>
      <w:r w:rsidRPr="00DE2260">
        <w:t>в соответствии с СанПиН</w:t>
      </w:r>
      <w:proofErr w:type="gramEnd"/>
      <w:r w:rsidRPr="00DE2260">
        <w:t xml:space="preserve"> 2.1.3684-21 как отходы, </w:t>
      </w:r>
      <w:r>
        <w:t>относящиеся</w:t>
      </w:r>
      <w:r w:rsidRPr="00DE2260">
        <w:t xml:space="preserve"> к классу А (</w:t>
      </w:r>
      <w:proofErr w:type="spellStart"/>
      <w:r w:rsidRPr="00DE2260">
        <w:t>эпидемиологически</w:t>
      </w:r>
      <w:proofErr w:type="spellEnd"/>
      <w:r w:rsidRPr="00DE2260">
        <w:t xml:space="preserve"> безопасные отходы, по составу приближенные к ТКО)</w:t>
      </w:r>
      <w:r>
        <w:t>.</w:t>
      </w:r>
      <w:r w:rsidRPr="0046671D">
        <w:t xml:space="preserve"> </w:t>
      </w:r>
      <w:r>
        <w:lastRenderedPageBreak/>
        <w:t>Отходы следует утилизировать через организации, имеющие лицензию на этот вид деятельности.</w:t>
      </w:r>
    </w:p>
    <w:p w14:paraId="42BE81C7" w14:textId="155E98FB" w:rsidR="00BC5E27" w:rsidRPr="00B91B74" w:rsidRDefault="00BC5E27" w:rsidP="00AB2261">
      <w:pPr>
        <w:ind w:left="14" w:right="76" w:hanging="11"/>
        <w:jc w:val="both"/>
      </w:pPr>
      <w:r w:rsidRPr="00B91B74">
        <w:t>Производитель гарантирует высокий уровень безопасности окружающей среды при правильном использовании и утилизации изделий.</w:t>
      </w:r>
    </w:p>
    <w:p w14:paraId="24269587" w14:textId="77777777" w:rsidR="00BC5E27" w:rsidRPr="00B91B74" w:rsidRDefault="00BC5E27" w:rsidP="00AB2261">
      <w:pPr>
        <w:ind w:left="14" w:right="76"/>
        <w:jc w:val="both"/>
        <w:rPr>
          <w:sz w:val="22"/>
          <w:szCs w:val="22"/>
        </w:rPr>
      </w:pPr>
    </w:p>
    <w:p w14:paraId="7C9E05A0" w14:textId="266DD8DA" w:rsidR="0011216D" w:rsidRPr="00AB5681" w:rsidRDefault="00086CA2" w:rsidP="0011216D">
      <w:pPr>
        <w:tabs>
          <w:tab w:val="left" w:pos="567"/>
        </w:tabs>
        <w:jc w:val="both"/>
        <w:rPr>
          <w:b/>
          <w:bCs/>
        </w:rPr>
      </w:pPr>
      <w:r w:rsidRPr="00B91B74">
        <w:rPr>
          <w:b/>
          <w:bCs/>
          <w:kern w:val="32"/>
        </w:rPr>
        <w:t>ХХ</w:t>
      </w:r>
      <w:r w:rsidRPr="00B91B74">
        <w:rPr>
          <w:b/>
          <w:bCs/>
          <w:kern w:val="32"/>
          <w:lang w:val="en-US"/>
        </w:rPr>
        <w:t>I</w:t>
      </w:r>
      <w:r w:rsidR="00324230">
        <w:rPr>
          <w:b/>
          <w:bCs/>
          <w:kern w:val="32"/>
          <w:lang w:val="en-US"/>
        </w:rPr>
        <w:t>I</w:t>
      </w:r>
      <w:r w:rsidR="00E704B1" w:rsidRPr="00B91B74">
        <w:rPr>
          <w:b/>
          <w:bCs/>
          <w:kern w:val="32"/>
        </w:rPr>
        <w:t xml:space="preserve">. </w:t>
      </w:r>
      <w:r w:rsidR="0011216D" w:rsidRPr="00AB5681">
        <w:rPr>
          <w:b/>
          <w:bCs/>
        </w:rPr>
        <w:t>Перечень применяемых производителем стандартов</w:t>
      </w:r>
    </w:p>
    <w:p w14:paraId="554AC2EF" w14:textId="77777777" w:rsidR="0011216D" w:rsidRPr="00AB5681" w:rsidRDefault="0011216D" w:rsidP="0011216D">
      <w:pPr>
        <w:tabs>
          <w:tab w:val="left" w:pos="567"/>
        </w:tabs>
        <w:jc w:val="both"/>
      </w:pPr>
    </w:p>
    <w:p w14:paraId="302535C0" w14:textId="77777777" w:rsidR="0011216D" w:rsidRDefault="0011216D" w:rsidP="0011216D">
      <w:pPr>
        <w:jc w:val="both"/>
      </w:pPr>
      <w:r w:rsidRPr="00AB5681">
        <w:rPr>
          <w:lang w:val="en-US"/>
        </w:rPr>
        <w:t>EN</w:t>
      </w:r>
      <w:r w:rsidRPr="008F2B90">
        <w:t xml:space="preserve"> </w:t>
      </w:r>
      <w:r w:rsidRPr="00AB5681">
        <w:rPr>
          <w:lang w:val="en-US"/>
        </w:rPr>
        <w:t>ISO</w:t>
      </w:r>
      <w:r w:rsidRPr="008F2B90">
        <w:t xml:space="preserve"> 13485: 2016, </w:t>
      </w:r>
      <w:r w:rsidRPr="00AB5681">
        <w:rPr>
          <w:lang w:val="en-US"/>
        </w:rPr>
        <w:t>EN</w:t>
      </w:r>
      <w:r w:rsidRPr="008F2B90">
        <w:t xml:space="preserve"> </w:t>
      </w:r>
      <w:r w:rsidRPr="00AB5681">
        <w:rPr>
          <w:lang w:val="en-US"/>
        </w:rPr>
        <w:t>ISO</w:t>
      </w:r>
      <w:r w:rsidRPr="008F2B90">
        <w:t xml:space="preserve"> 18113-1: 2011, </w:t>
      </w:r>
      <w:r w:rsidRPr="00AB5681">
        <w:rPr>
          <w:lang w:val="en-US"/>
        </w:rPr>
        <w:t>EN</w:t>
      </w:r>
      <w:r w:rsidRPr="008F2B90">
        <w:t xml:space="preserve"> </w:t>
      </w:r>
      <w:r w:rsidRPr="00AB5681">
        <w:rPr>
          <w:lang w:val="en-US"/>
        </w:rPr>
        <w:t>ISO</w:t>
      </w:r>
      <w:r w:rsidRPr="008F2B90">
        <w:t xml:space="preserve"> 18113-2: 2011, </w:t>
      </w:r>
      <w:r w:rsidRPr="00AB5681">
        <w:rPr>
          <w:lang w:val="en-US"/>
        </w:rPr>
        <w:t>EN</w:t>
      </w:r>
      <w:r w:rsidRPr="008F2B90">
        <w:t xml:space="preserve"> </w:t>
      </w:r>
      <w:r w:rsidRPr="00AB5681">
        <w:rPr>
          <w:lang w:val="en-US"/>
        </w:rPr>
        <w:t>ISO</w:t>
      </w:r>
      <w:r w:rsidRPr="008F2B90">
        <w:t xml:space="preserve"> 15223-1: 2016, </w:t>
      </w:r>
      <w:r w:rsidRPr="00AB5681">
        <w:rPr>
          <w:lang w:val="en-US"/>
        </w:rPr>
        <w:t>EN</w:t>
      </w:r>
      <w:r w:rsidRPr="008F2B90">
        <w:t xml:space="preserve"> 13612: 2002, </w:t>
      </w:r>
      <w:r w:rsidRPr="00AB5681">
        <w:rPr>
          <w:lang w:val="en-US"/>
        </w:rPr>
        <w:t>EN</w:t>
      </w:r>
      <w:r w:rsidRPr="008F2B90">
        <w:t xml:space="preserve"> </w:t>
      </w:r>
      <w:r w:rsidRPr="00AB5681">
        <w:rPr>
          <w:lang w:val="en-US"/>
        </w:rPr>
        <w:t>ISO</w:t>
      </w:r>
      <w:r w:rsidRPr="008F2B90">
        <w:t xml:space="preserve"> 23640: 2015, </w:t>
      </w:r>
      <w:r w:rsidRPr="00AB5681">
        <w:rPr>
          <w:lang w:val="en-US"/>
        </w:rPr>
        <w:t>EN</w:t>
      </w:r>
      <w:r w:rsidRPr="008F2B90">
        <w:t xml:space="preserve"> </w:t>
      </w:r>
      <w:r w:rsidRPr="00AB5681">
        <w:rPr>
          <w:lang w:val="en-US"/>
        </w:rPr>
        <w:t>ISO</w:t>
      </w:r>
      <w:r w:rsidRPr="008F2B90">
        <w:t xml:space="preserve"> 14971: 2019</w:t>
      </w:r>
    </w:p>
    <w:p w14:paraId="1E8BC1F2" w14:textId="77777777" w:rsidR="0011216D" w:rsidRDefault="0011216D" w:rsidP="0011216D">
      <w:pPr>
        <w:jc w:val="both"/>
      </w:pPr>
    </w:p>
    <w:p w14:paraId="6FFF3978" w14:textId="5F24E0B6" w:rsidR="00E704B1" w:rsidRPr="00B91B74" w:rsidRDefault="0011216D" w:rsidP="00AB2261">
      <w:pPr>
        <w:widowControl w:val="0"/>
        <w:tabs>
          <w:tab w:val="left" w:pos="142"/>
          <w:tab w:val="left" w:pos="743"/>
        </w:tabs>
        <w:autoSpaceDE w:val="0"/>
        <w:autoSpaceDN w:val="0"/>
        <w:ind w:right="-2"/>
        <w:jc w:val="both"/>
      </w:pPr>
      <w:r w:rsidRPr="00B91B74">
        <w:rPr>
          <w:b/>
          <w:bCs/>
          <w:kern w:val="32"/>
        </w:rPr>
        <w:t>ХХ</w:t>
      </w:r>
      <w:r w:rsidRPr="00B91B74">
        <w:rPr>
          <w:b/>
          <w:bCs/>
          <w:kern w:val="32"/>
          <w:lang w:val="en-US"/>
        </w:rPr>
        <w:t>II</w:t>
      </w:r>
      <w:r w:rsidR="00324230">
        <w:rPr>
          <w:b/>
          <w:bCs/>
          <w:kern w:val="32"/>
          <w:lang w:val="en-US"/>
        </w:rPr>
        <w:t>I</w:t>
      </w:r>
      <w:r w:rsidRPr="00B91B74">
        <w:rPr>
          <w:b/>
          <w:bCs/>
          <w:kern w:val="32"/>
        </w:rPr>
        <w:t xml:space="preserve">. </w:t>
      </w:r>
      <w:r w:rsidR="00E704B1" w:rsidRPr="00B91B74">
        <w:rPr>
          <w:b/>
          <w:bCs/>
          <w:kern w:val="32"/>
        </w:rPr>
        <w:t>Г</w:t>
      </w:r>
      <w:r w:rsidR="00086CA2" w:rsidRPr="00B91B74">
        <w:rPr>
          <w:b/>
          <w:bCs/>
          <w:kern w:val="32"/>
        </w:rPr>
        <w:t>арантийные обязательства</w:t>
      </w:r>
    </w:p>
    <w:p w14:paraId="2D4C9227" w14:textId="77777777" w:rsidR="00E704B1" w:rsidRPr="00B91B74" w:rsidRDefault="00E704B1" w:rsidP="00AB2261">
      <w:pPr>
        <w:widowControl w:val="0"/>
        <w:tabs>
          <w:tab w:val="left" w:pos="0"/>
        </w:tabs>
        <w:autoSpaceDE w:val="0"/>
        <w:autoSpaceDN w:val="0"/>
        <w:jc w:val="both"/>
        <w:rPr>
          <w:rFonts w:eastAsia="Calibri"/>
          <w:bCs/>
        </w:rPr>
      </w:pPr>
    </w:p>
    <w:p w14:paraId="4AC7A243" w14:textId="7A8EF973" w:rsidR="00E704B1" w:rsidRPr="00B91B74" w:rsidRDefault="00E704B1" w:rsidP="00AB2261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rFonts w:eastAsia="Calibri"/>
          <w:bCs/>
        </w:rPr>
      </w:pPr>
      <w:r w:rsidRPr="00B91B74">
        <w:rPr>
          <w:rFonts w:eastAsia="Calibri"/>
          <w:bCs/>
        </w:rPr>
        <w:t>Производитель гарантирует соответствие выпускаемого продукта требованиям нормативной и технической документации.</w:t>
      </w:r>
    </w:p>
    <w:p w14:paraId="4FB73AD5" w14:textId="73D153C1" w:rsidR="00E704B1" w:rsidRPr="00B91B74" w:rsidRDefault="00E704B1" w:rsidP="00AB2261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rFonts w:eastAsia="Calibri"/>
          <w:bCs/>
        </w:rPr>
      </w:pPr>
      <w:r w:rsidRPr="00B91B74">
        <w:rPr>
          <w:rFonts w:eastAsia="Calibri"/>
          <w:bCs/>
        </w:rPr>
        <w:t>Безопасность и качество набора реагентов гарантируются в течение всего установленного срока годности.</w:t>
      </w:r>
    </w:p>
    <w:p w14:paraId="408AA4EF" w14:textId="455F3483" w:rsidR="00E704B1" w:rsidRPr="00B91B74" w:rsidRDefault="00E704B1" w:rsidP="00AB2261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rFonts w:eastAsia="Calibri"/>
          <w:bCs/>
        </w:rPr>
      </w:pPr>
      <w:r w:rsidRPr="00B91B74">
        <w:rPr>
          <w:rFonts w:eastAsia="Calibri"/>
          <w:bCs/>
        </w:rPr>
        <w:t>Гарантии производителя не распространяются при нарушении условий хранения и транспортирования, а также в случае несоблюдения инструкции по применению.</w:t>
      </w:r>
    </w:p>
    <w:p w14:paraId="21E62CAF" w14:textId="3D049114" w:rsidR="00E704B1" w:rsidRPr="00B91B74" w:rsidRDefault="00E704B1" w:rsidP="00AB2261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rFonts w:eastAsia="Calibri"/>
          <w:bCs/>
        </w:rPr>
      </w:pPr>
      <w:r w:rsidRPr="00B91B74">
        <w:rPr>
          <w:rFonts w:eastAsia="Calibri"/>
          <w:bCs/>
        </w:rPr>
        <w:t xml:space="preserve">Рекламации на </w:t>
      </w:r>
      <w:r w:rsidR="0007507F">
        <w:rPr>
          <w:rFonts w:eastAsia="Calibri"/>
          <w:bCs/>
        </w:rPr>
        <w:t>изделие</w:t>
      </w:r>
      <w:r w:rsidRPr="00B91B74">
        <w:rPr>
          <w:rFonts w:eastAsia="Calibri"/>
          <w:bCs/>
        </w:rPr>
        <w:t xml:space="preserve"> направлять в адрес производителя</w:t>
      </w:r>
      <w:r w:rsidR="006C0A29">
        <w:rPr>
          <w:rFonts w:eastAsia="Calibri"/>
          <w:bCs/>
        </w:rPr>
        <w:t xml:space="preserve"> или его уполномоченного представителя</w:t>
      </w:r>
      <w:r w:rsidRPr="00B91B74">
        <w:rPr>
          <w:rFonts w:eastAsia="Calibri"/>
          <w:bCs/>
        </w:rPr>
        <w:t>.</w:t>
      </w:r>
    </w:p>
    <w:p w14:paraId="41F7CB5F" w14:textId="77777777" w:rsidR="00BC5E27" w:rsidRPr="00B91B74" w:rsidRDefault="00BC5E27" w:rsidP="00AB2261">
      <w:pPr>
        <w:tabs>
          <w:tab w:val="left" w:pos="0"/>
        </w:tabs>
        <w:jc w:val="both"/>
        <w:rPr>
          <w:rFonts w:eastAsia="Calibri"/>
        </w:rPr>
      </w:pPr>
    </w:p>
    <w:p w14:paraId="1F26697C" w14:textId="3351C822" w:rsidR="000F18FC" w:rsidRPr="00727040" w:rsidRDefault="000077FC" w:rsidP="00AB2261">
      <w:pPr>
        <w:ind w:right="74"/>
        <w:jc w:val="both"/>
        <w:rPr>
          <w:b/>
          <w:bCs/>
        </w:rPr>
      </w:pPr>
      <w:r w:rsidRPr="00B91B74">
        <w:rPr>
          <w:b/>
          <w:bCs/>
          <w:kern w:val="32"/>
        </w:rPr>
        <w:t>ХХ</w:t>
      </w:r>
      <w:r w:rsidRPr="00B91B74">
        <w:rPr>
          <w:b/>
          <w:bCs/>
          <w:kern w:val="32"/>
          <w:lang w:val="en-US"/>
        </w:rPr>
        <w:t>I</w:t>
      </w:r>
      <w:r w:rsidR="00324230">
        <w:rPr>
          <w:b/>
          <w:bCs/>
          <w:kern w:val="32"/>
          <w:lang w:val="en-US"/>
        </w:rPr>
        <w:t>V</w:t>
      </w:r>
      <w:r w:rsidRPr="00B91B74">
        <w:rPr>
          <w:b/>
          <w:bCs/>
          <w:kern w:val="32"/>
        </w:rPr>
        <w:t>.</w:t>
      </w:r>
      <w:r w:rsidR="00853332">
        <w:rPr>
          <w:b/>
          <w:bCs/>
          <w:kern w:val="32"/>
        </w:rPr>
        <w:t xml:space="preserve"> </w:t>
      </w:r>
      <w:r w:rsidR="00F10FB6" w:rsidRPr="00727040">
        <w:rPr>
          <w:b/>
          <w:bCs/>
        </w:rPr>
        <w:t xml:space="preserve">Символы, используемые </w:t>
      </w:r>
      <w:r w:rsidR="00727040" w:rsidRPr="00727040">
        <w:rPr>
          <w:b/>
          <w:bCs/>
        </w:rPr>
        <w:t>в</w:t>
      </w:r>
      <w:r w:rsidR="00F10FB6" w:rsidRPr="00727040">
        <w:rPr>
          <w:b/>
          <w:bCs/>
        </w:rPr>
        <w:t xml:space="preserve"> маркировк</w:t>
      </w:r>
      <w:r w:rsidR="00727040" w:rsidRPr="00727040">
        <w:rPr>
          <w:b/>
          <w:bCs/>
        </w:rPr>
        <w:t>е изделия</w:t>
      </w:r>
    </w:p>
    <w:p w14:paraId="2D0B3FA4" w14:textId="77777777" w:rsidR="00DC45F8" w:rsidRPr="00B91B74" w:rsidRDefault="00DC45F8" w:rsidP="00AB2261">
      <w:pPr>
        <w:ind w:left="14" w:right="76"/>
        <w:jc w:val="both"/>
      </w:pPr>
    </w:p>
    <w:tbl>
      <w:tblPr>
        <w:tblStyle w:val="TableGrid"/>
        <w:tblW w:w="5000" w:type="pct"/>
        <w:tblInd w:w="0" w:type="dxa"/>
        <w:tblCellMar>
          <w:top w:w="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267"/>
        <w:gridCol w:w="6078"/>
      </w:tblGrid>
      <w:tr w:rsidR="00246870" w:rsidRPr="00B91B74" w14:paraId="631B5D18" w14:textId="77777777" w:rsidTr="00727040">
        <w:trPr>
          <w:trHeight w:val="883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80B5" w14:textId="77777777" w:rsidR="000F18FC" w:rsidRPr="00B91B74" w:rsidRDefault="00F10FB6" w:rsidP="00727040">
            <w:pPr>
              <w:ind w:left="12"/>
              <w:jc w:val="center"/>
            </w:pPr>
            <w:r w:rsidRPr="00B91B74">
              <w:rPr>
                <w:b/>
              </w:rPr>
              <w:t>Символ</w:t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5E3F" w14:textId="77777777" w:rsidR="000F18FC" w:rsidRPr="00B91B74" w:rsidRDefault="00F10FB6" w:rsidP="00727040">
            <w:pPr>
              <w:ind w:left="13"/>
              <w:jc w:val="center"/>
            </w:pPr>
            <w:r w:rsidRPr="00B91B74">
              <w:rPr>
                <w:b/>
              </w:rPr>
              <w:t>Наименование символа</w:t>
            </w:r>
          </w:p>
        </w:tc>
      </w:tr>
      <w:tr w:rsidR="00246870" w:rsidRPr="00B91B74" w14:paraId="76FBAA1B" w14:textId="77777777" w:rsidTr="0064446F">
        <w:trPr>
          <w:trHeight w:val="719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4321" w14:textId="3C842E72" w:rsidR="000F18FC" w:rsidRPr="00B91B74" w:rsidRDefault="002E28C9" w:rsidP="00727040">
            <w:pPr>
              <w:jc w:val="center"/>
            </w:pPr>
            <w:r w:rsidRPr="002E28C9">
              <w:rPr>
                <w:noProof/>
              </w:rPr>
              <w:drawing>
                <wp:inline distT="0" distB="0" distL="0" distR="0" wp14:anchorId="0B96D36C" wp14:editId="381D00A4">
                  <wp:extent cx="485029" cy="4620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7" t="9536" r="7354" b="11351"/>
                          <a:stretch/>
                        </pic:blipFill>
                        <pic:spPr bwMode="auto">
                          <a:xfrm>
                            <a:off x="0" y="0"/>
                            <a:ext cx="500265" cy="47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018F" w14:textId="77777777" w:rsidR="000F18FC" w:rsidRPr="00B91B74" w:rsidRDefault="00F10FB6" w:rsidP="00727040">
            <w:pPr>
              <w:jc w:val="center"/>
            </w:pPr>
            <w:r w:rsidRPr="00B91B74">
              <w:t>Изготовитель</w:t>
            </w:r>
          </w:p>
        </w:tc>
      </w:tr>
      <w:tr w:rsidR="00246870" w:rsidRPr="00B91B74" w14:paraId="68273604" w14:textId="77777777" w:rsidTr="00727040">
        <w:trPr>
          <w:trHeight w:val="883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5DE9" w14:textId="0EF8CE9D" w:rsidR="00653085" w:rsidRPr="00B91B74" w:rsidRDefault="00653085" w:rsidP="00727040">
            <w:pPr>
              <w:jc w:val="center"/>
              <w:rPr>
                <w:noProof/>
              </w:rPr>
            </w:pPr>
            <w:r w:rsidRPr="00653085">
              <w:rPr>
                <w:noProof/>
              </w:rPr>
              <w:drawing>
                <wp:inline distT="0" distB="0" distL="0" distR="0" wp14:anchorId="4E3B09DC" wp14:editId="39F27458">
                  <wp:extent cx="493604" cy="477079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0" t="6672" r="5665" b="7366"/>
                          <a:stretch/>
                        </pic:blipFill>
                        <pic:spPr bwMode="auto">
                          <a:xfrm>
                            <a:off x="0" y="0"/>
                            <a:ext cx="514518" cy="49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931B" w14:textId="259A77CA" w:rsidR="00653085" w:rsidRPr="00B91B74" w:rsidRDefault="00653085" w:rsidP="00727040">
            <w:pPr>
              <w:jc w:val="center"/>
            </w:pPr>
            <w:r>
              <w:t>Дата изготовления</w:t>
            </w:r>
          </w:p>
        </w:tc>
      </w:tr>
      <w:tr w:rsidR="00246870" w:rsidRPr="00B91B74" w14:paraId="768061CF" w14:textId="77777777" w:rsidTr="00727040">
        <w:trPr>
          <w:trHeight w:val="883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C1E0" w14:textId="77777777" w:rsidR="000F18FC" w:rsidRPr="00B91B74" w:rsidRDefault="00F10FB6" w:rsidP="00727040">
            <w:pPr>
              <w:jc w:val="center"/>
            </w:pPr>
            <w:r w:rsidRPr="00B91B74">
              <w:rPr>
                <w:noProof/>
              </w:rPr>
              <w:drawing>
                <wp:inline distT="0" distB="0" distL="0" distR="0" wp14:anchorId="473AE475" wp14:editId="395B33B9">
                  <wp:extent cx="480535" cy="244801"/>
                  <wp:effectExtent l="0" t="0" r="0" b="0"/>
                  <wp:docPr id="1136" name="Picture 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Picture 11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5" cy="24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6FCB" w14:textId="71850778" w:rsidR="000F18FC" w:rsidRPr="00B91B74" w:rsidRDefault="00653CB0" w:rsidP="00727040">
            <w:pPr>
              <w:jc w:val="center"/>
            </w:pPr>
            <w:r>
              <w:t>Код партии / Номер партии / Номер серии</w:t>
            </w:r>
          </w:p>
        </w:tc>
      </w:tr>
      <w:tr w:rsidR="00246870" w:rsidRPr="00B91B74" w14:paraId="7EA1422D" w14:textId="77777777" w:rsidTr="00727040">
        <w:trPr>
          <w:trHeight w:val="883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2B4" w14:textId="77777777" w:rsidR="000F18FC" w:rsidRPr="00B91B74" w:rsidRDefault="00F10FB6" w:rsidP="00727040">
            <w:pPr>
              <w:jc w:val="center"/>
            </w:pPr>
            <w:r w:rsidRPr="00B91B74">
              <w:rPr>
                <w:noProof/>
              </w:rPr>
              <w:drawing>
                <wp:inline distT="0" distB="0" distL="0" distR="0" wp14:anchorId="7ADC042A" wp14:editId="6598B5CB">
                  <wp:extent cx="316122" cy="252920"/>
                  <wp:effectExtent l="0" t="0" r="1905" b="1270"/>
                  <wp:docPr id="1139" name="Picture 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24" cy="25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BAA6" w14:textId="77777777" w:rsidR="000F18FC" w:rsidRPr="00B91B74" w:rsidRDefault="00F10FB6" w:rsidP="00727040">
            <w:pPr>
              <w:jc w:val="center"/>
            </w:pPr>
            <w:r w:rsidRPr="00B91B74">
              <w:t>Соответствие директивам ЕС</w:t>
            </w:r>
          </w:p>
        </w:tc>
      </w:tr>
      <w:tr w:rsidR="00246870" w:rsidRPr="00B91B74" w14:paraId="1AACD53A" w14:textId="77777777" w:rsidTr="00727040">
        <w:trPr>
          <w:trHeight w:val="883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AA51" w14:textId="77777777" w:rsidR="000F18FC" w:rsidRPr="00B91B74" w:rsidRDefault="00F10FB6" w:rsidP="00727040">
            <w:pPr>
              <w:jc w:val="center"/>
            </w:pPr>
            <w:r w:rsidRPr="00B91B74">
              <w:rPr>
                <w:noProof/>
              </w:rPr>
              <w:drawing>
                <wp:inline distT="0" distB="0" distL="0" distR="0" wp14:anchorId="2E831460" wp14:editId="75B1625D">
                  <wp:extent cx="199467" cy="380801"/>
                  <wp:effectExtent l="0" t="0" r="0" b="0"/>
                  <wp:docPr id="1142" name="Picture 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Picture 114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67" cy="380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A38B" w14:textId="0D485F75" w:rsidR="000F18FC" w:rsidRPr="00B91B74" w:rsidRDefault="00653085" w:rsidP="00727040">
            <w:pPr>
              <w:jc w:val="center"/>
            </w:pPr>
            <w:r>
              <w:t>Использовать до</w:t>
            </w:r>
          </w:p>
        </w:tc>
      </w:tr>
      <w:tr w:rsidR="00246870" w:rsidRPr="00B91B74" w14:paraId="16E48CD8" w14:textId="77777777" w:rsidTr="00727040">
        <w:trPr>
          <w:trHeight w:val="883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0351" w14:textId="77777777" w:rsidR="000F18FC" w:rsidRPr="00B91B74" w:rsidRDefault="00F10FB6" w:rsidP="00727040">
            <w:pPr>
              <w:jc w:val="center"/>
            </w:pPr>
            <w:r w:rsidRPr="00B91B74">
              <w:rPr>
                <w:noProof/>
              </w:rPr>
              <w:drawing>
                <wp:inline distT="0" distB="0" distL="0" distR="0" wp14:anchorId="4250B4ED" wp14:editId="147C093C">
                  <wp:extent cx="520598" cy="336499"/>
                  <wp:effectExtent l="0" t="0" r="0" b="6985"/>
                  <wp:docPr id="1149" name="Picture 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Picture 114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5" cy="35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1085" w14:textId="77777777" w:rsidR="000F18FC" w:rsidRPr="00B91B74" w:rsidRDefault="00F10FB6" w:rsidP="00727040">
            <w:pPr>
              <w:jc w:val="center"/>
            </w:pPr>
            <w:r w:rsidRPr="00B91B74">
              <w:t>Обратитесь к инструкции по применению</w:t>
            </w:r>
          </w:p>
        </w:tc>
      </w:tr>
      <w:tr w:rsidR="00246870" w:rsidRPr="00B91B74" w14:paraId="2385D603" w14:textId="77777777" w:rsidTr="00727040">
        <w:trPr>
          <w:trHeight w:val="883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BEB1" w14:textId="6984EBA1" w:rsidR="00246870" w:rsidRPr="00B91B74" w:rsidRDefault="00246870" w:rsidP="00727040">
            <w:pPr>
              <w:jc w:val="center"/>
              <w:rPr>
                <w:noProof/>
              </w:rPr>
            </w:pPr>
            <w:r w:rsidRPr="00246870">
              <w:rPr>
                <w:noProof/>
              </w:rPr>
              <w:drawing>
                <wp:inline distT="0" distB="0" distL="0" distR="0" wp14:anchorId="30AA67D6" wp14:editId="715AF588">
                  <wp:extent cx="485029" cy="42195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3" t="12271" r="5790" b="10179"/>
                          <a:stretch/>
                        </pic:blipFill>
                        <pic:spPr bwMode="auto">
                          <a:xfrm>
                            <a:off x="0" y="0"/>
                            <a:ext cx="495662" cy="43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8145" w14:textId="24B9243A" w:rsidR="00246870" w:rsidRPr="00B91B74" w:rsidRDefault="00246870" w:rsidP="00727040">
            <w:pPr>
              <w:jc w:val="center"/>
            </w:pPr>
            <w:r>
              <w:t xml:space="preserve">Осторожно! </w:t>
            </w:r>
            <w:r w:rsidRPr="00B91B74">
              <w:t>Обратитесь к инструкции по применению</w:t>
            </w:r>
          </w:p>
        </w:tc>
      </w:tr>
      <w:tr w:rsidR="00246870" w:rsidRPr="00B91B74" w14:paraId="367825C4" w14:textId="77777777" w:rsidTr="00727040">
        <w:trPr>
          <w:trHeight w:val="883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FBBB" w14:textId="263B26B2" w:rsidR="000F18FC" w:rsidRPr="00B91B74" w:rsidRDefault="008F2B07" w:rsidP="00727040">
            <w:pPr>
              <w:jc w:val="center"/>
            </w:pPr>
            <w:r w:rsidRPr="008F2B07">
              <w:rPr>
                <w:noProof/>
              </w:rPr>
              <w:drawing>
                <wp:inline distT="0" distB="0" distL="0" distR="0" wp14:anchorId="53269ADF" wp14:editId="6E86F943">
                  <wp:extent cx="471206" cy="429370"/>
                  <wp:effectExtent l="0" t="0" r="508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5" r="7543" b="6596"/>
                          <a:stretch/>
                        </pic:blipFill>
                        <pic:spPr bwMode="auto">
                          <a:xfrm>
                            <a:off x="0" y="0"/>
                            <a:ext cx="478125" cy="43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16CA" w14:textId="109FD428" w:rsidR="000F18FC" w:rsidRPr="00B91B74" w:rsidRDefault="008F2B07" w:rsidP="00727040">
            <w:pPr>
              <w:jc w:val="center"/>
            </w:pPr>
            <w:r>
              <w:t>Содержимого достаточно для проведения n-количества тестов</w:t>
            </w:r>
          </w:p>
        </w:tc>
      </w:tr>
      <w:tr w:rsidR="00246870" w:rsidRPr="00B91B74" w14:paraId="77510CD3" w14:textId="77777777" w:rsidTr="0064446F">
        <w:trPr>
          <w:trHeight w:val="651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96A3" w14:textId="77777777" w:rsidR="000F18FC" w:rsidRPr="00B91B74" w:rsidRDefault="00F10FB6" w:rsidP="00727040">
            <w:pPr>
              <w:jc w:val="center"/>
            </w:pPr>
            <w:r w:rsidRPr="00B91B74">
              <w:rPr>
                <w:noProof/>
              </w:rPr>
              <w:lastRenderedPageBreak/>
              <w:drawing>
                <wp:inline distT="0" distB="0" distL="0" distR="0" wp14:anchorId="7B51E677" wp14:editId="2BD51F18">
                  <wp:extent cx="526694" cy="336499"/>
                  <wp:effectExtent l="0" t="0" r="6985" b="6985"/>
                  <wp:docPr id="1155" name="Picture 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38" cy="34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BB2A" w14:textId="0AD70A59" w:rsidR="000F18FC" w:rsidRPr="00B91B74" w:rsidRDefault="005572F0" w:rsidP="00727040">
            <w:pPr>
              <w:jc w:val="center"/>
            </w:pPr>
            <w:r>
              <w:t>Медицинское изделие</w:t>
            </w:r>
            <w:r w:rsidR="00F10FB6" w:rsidRPr="00B91B74">
              <w:t xml:space="preserve"> для диагностики </w:t>
            </w:r>
            <w:proofErr w:type="spellStart"/>
            <w:r w:rsidR="00F10FB6" w:rsidRPr="004F381F">
              <w:rPr>
                <w:i/>
                <w:iCs/>
              </w:rPr>
              <w:t>in</w:t>
            </w:r>
            <w:proofErr w:type="spellEnd"/>
            <w:r w:rsidR="00F10FB6" w:rsidRPr="004F381F">
              <w:rPr>
                <w:i/>
                <w:iCs/>
              </w:rPr>
              <w:t xml:space="preserve"> </w:t>
            </w:r>
            <w:proofErr w:type="spellStart"/>
            <w:r w:rsidR="00F10FB6" w:rsidRPr="004F381F">
              <w:rPr>
                <w:i/>
                <w:iCs/>
              </w:rPr>
              <w:t>vitro</w:t>
            </w:r>
            <w:proofErr w:type="spellEnd"/>
          </w:p>
        </w:tc>
      </w:tr>
      <w:tr w:rsidR="00246870" w:rsidRPr="00B91B74" w14:paraId="7F29A45D" w14:textId="77777777" w:rsidTr="0064446F">
        <w:trPr>
          <w:trHeight w:val="702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014C" w14:textId="638E79C7" w:rsidR="000F18FC" w:rsidRPr="00B91B74" w:rsidRDefault="0079156F" w:rsidP="00727040">
            <w:pPr>
              <w:jc w:val="center"/>
            </w:pPr>
            <w:r w:rsidRPr="0079156F">
              <w:rPr>
                <w:noProof/>
              </w:rPr>
              <w:drawing>
                <wp:inline distT="0" distB="0" distL="0" distR="0" wp14:anchorId="225115FD" wp14:editId="27FAE01B">
                  <wp:extent cx="291990" cy="396000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90" r="14213"/>
                          <a:stretch/>
                        </pic:blipFill>
                        <pic:spPr bwMode="auto">
                          <a:xfrm>
                            <a:off x="0" y="0"/>
                            <a:ext cx="29199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AA30" w14:textId="3806B591" w:rsidR="000F18FC" w:rsidRPr="00B91B74" w:rsidRDefault="005572F0" w:rsidP="00727040">
            <w:pPr>
              <w:jc w:val="center"/>
            </w:pPr>
            <w:r>
              <w:t>Температурный диапазон</w:t>
            </w:r>
          </w:p>
        </w:tc>
      </w:tr>
      <w:tr w:rsidR="00246870" w:rsidRPr="00B91B74" w14:paraId="771FA759" w14:textId="77777777" w:rsidTr="0064446F">
        <w:trPr>
          <w:trHeight w:val="658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7513" w14:textId="77777777" w:rsidR="000F18FC" w:rsidRPr="00B91B74" w:rsidRDefault="00F10FB6" w:rsidP="00727040">
            <w:pPr>
              <w:jc w:val="center"/>
            </w:pPr>
            <w:r w:rsidRPr="00B91B74">
              <w:rPr>
                <w:noProof/>
              </w:rPr>
              <w:drawing>
                <wp:inline distT="0" distB="0" distL="0" distR="0" wp14:anchorId="277DE3AD" wp14:editId="23941B5F">
                  <wp:extent cx="475699" cy="287112"/>
                  <wp:effectExtent l="0" t="0" r="0" b="0"/>
                  <wp:docPr id="1161" name="Picture 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Picture 116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99" cy="28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4C51" w14:textId="77777777" w:rsidR="000F18FC" w:rsidRPr="00B91B74" w:rsidRDefault="00F10FB6" w:rsidP="00727040">
            <w:pPr>
              <w:jc w:val="center"/>
            </w:pPr>
            <w:r w:rsidRPr="00B91B74">
              <w:t>Номер по каталогу</w:t>
            </w:r>
          </w:p>
        </w:tc>
      </w:tr>
      <w:tr w:rsidR="00246870" w:rsidRPr="00B91B74" w14:paraId="48A4FFCA" w14:textId="77777777" w:rsidTr="0064446F">
        <w:trPr>
          <w:trHeight w:val="722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FF11" w14:textId="7FFEE122" w:rsidR="000F18FC" w:rsidRPr="00B91B74" w:rsidRDefault="00D969D2" w:rsidP="00727040">
            <w:pPr>
              <w:jc w:val="center"/>
            </w:pPr>
            <w:r w:rsidRPr="00D969D2">
              <w:rPr>
                <w:noProof/>
              </w:rPr>
              <w:drawing>
                <wp:inline distT="0" distB="0" distL="0" distR="0" wp14:anchorId="3A319E70" wp14:editId="210EE880">
                  <wp:extent cx="409698" cy="411431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5" t="6909" r="7869" b="7031"/>
                          <a:stretch/>
                        </pic:blipFill>
                        <pic:spPr bwMode="auto">
                          <a:xfrm>
                            <a:off x="0" y="0"/>
                            <a:ext cx="424643" cy="42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DADC" w14:textId="77E228DD" w:rsidR="000F18FC" w:rsidRPr="00B91B74" w:rsidRDefault="00D969D2" w:rsidP="00727040">
            <w:pPr>
              <w:jc w:val="center"/>
            </w:pPr>
            <w:r>
              <w:t>Запрет на повторное применение</w:t>
            </w:r>
          </w:p>
        </w:tc>
      </w:tr>
      <w:tr w:rsidR="00246870" w:rsidRPr="00B91B74" w14:paraId="3B430BAA" w14:textId="77777777" w:rsidTr="0064446F">
        <w:trPr>
          <w:trHeight w:val="562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C85D" w14:textId="77777777" w:rsidR="000F18FC" w:rsidRPr="00B91B74" w:rsidRDefault="00F10FB6" w:rsidP="00727040">
            <w:pPr>
              <w:jc w:val="center"/>
            </w:pPr>
            <w:r w:rsidRPr="00B91B74">
              <w:rPr>
                <w:noProof/>
              </w:rPr>
              <w:drawing>
                <wp:inline distT="0" distB="0" distL="0" distR="0" wp14:anchorId="09CC732D" wp14:editId="5A0A67E8">
                  <wp:extent cx="425257" cy="378610"/>
                  <wp:effectExtent l="0" t="0" r="0" b="2540"/>
                  <wp:docPr id="1167" name="Picture 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Picture 116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68" cy="38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8BC5" w14:textId="1E12AF82" w:rsidR="000F18FC" w:rsidRPr="00B91B74" w:rsidRDefault="00F10FB6" w:rsidP="00727040">
            <w:pPr>
              <w:jc w:val="center"/>
            </w:pPr>
            <w:r w:rsidRPr="00B91B74">
              <w:t>Не использовать при поврежден</w:t>
            </w:r>
            <w:r w:rsidR="00C8348D">
              <w:t xml:space="preserve">ии </w:t>
            </w:r>
            <w:r w:rsidRPr="00B91B74">
              <w:t>упаковк</w:t>
            </w:r>
            <w:r w:rsidR="00C8348D">
              <w:t>и</w:t>
            </w:r>
          </w:p>
        </w:tc>
      </w:tr>
      <w:tr w:rsidR="00246870" w:rsidRPr="00B91B74" w14:paraId="03D13BD4" w14:textId="77777777" w:rsidTr="0064446F">
        <w:trPr>
          <w:trHeight w:val="514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E8E8" w14:textId="7108BE28" w:rsidR="00246870" w:rsidRPr="00B91B74" w:rsidRDefault="00DD100A" w:rsidP="0072704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73FFEF" wp14:editId="5F9C6C98">
                  <wp:extent cx="432000" cy="432000"/>
                  <wp:effectExtent l="0" t="0" r="635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D8DC" w14:textId="5A88F837" w:rsidR="00246870" w:rsidRPr="00B91B74" w:rsidRDefault="00C950E3" w:rsidP="00727040">
            <w:pPr>
              <w:jc w:val="center"/>
            </w:pPr>
            <w:r>
              <w:t>Верх</w:t>
            </w:r>
          </w:p>
        </w:tc>
      </w:tr>
      <w:tr w:rsidR="00F66D7B" w:rsidRPr="00B91B74" w14:paraId="218D0898" w14:textId="77777777" w:rsidTr="0064446F">
        <w:trPr>
          <w:trHeight w:val="514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802B" w14:textId="339751FA" w:rsidR="00F66D7B" w:rsidRDefault="00F66D7B" w:rsidP="0072704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E0863A4" wp14:editId="39075F9C">
                  <wp:simplePos x="0" y="0"/>
                  <wp:positionH relativeFrom="column">
                    <wp:posOffset>546735</wp:posOffset>
                  </wp:positionH>
                  <wp:positionV relativeFrom="page">
                    <wp:posOffset>6350</wp:posOffset>
                  </wp:positionV>
                  <wp:extent cx="854710" cy="332105"/>
                  <wp:effectExtent l="0" t="0" r="254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C637" w14:textId="19FC31F9" w:rsidR="00F66D7B" w:rsidRPr="00F66D7B" w:rsidRDefault="00F66D7B" w:rsidP="00727040">
            <w:pPr>
              <w:jc w:val="center"/>
            </w:pPr>
            <w:bookmarkStart w:id="1" w:name="_GoBack"/>
            <w:bookmarkEnd w:id="1"/>
            <w:r>
              <w:t>Представитель в ЕС</w:t>
            </w:r>
          </w:p>
        </w:tc>
      </w:tr>
      <w:tr w:rsidR="00246870" w:rsidRPr="00B91B74" w14:paraId="761A267F" w14:textId="77777777" w:rsidTr="00D675BC">
        <w:trPr>
          <w:trHeight w:val="510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57F8" w14:textId="5E0779FD" w:rsidR="00576E93" w:rsidRPr="00B91B74" w:rsidRDefault="00576E93" w:rsidP="00727040">
            <w:pPr>
              <w:jc w:val="center"/>
              <w:rPr>
                <w:noProof/>
              </w:rPr>
            </w:pPr>
            <w:r w:rsidRPr="00576E93">
              <w:rPr>
                <w:noProof/>
              </w:rPr>
              <w:drawing>
                <wp:inline distT="0" distB="0" distL="0" distR="0" wp14:anchorId="61E526F5" wp14:editId="4BEE01DB">
                  <wp:extent cx="930303" cy="461996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28" b="25092"/>
                          <a:stretch/>
                        </pic:blipFill>
                        <pic:spPr bwMode="auto">
                          <a:xfrm>
                            <a:off x="0" y="0"/>
                            <a:ext cx="947916" cy="47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8D8C" w14:textId="51567861" w:rsidR="00576E93" w:rsidRPr="00B91B74" w:rsidRDefault="00576E93" w:rsidP="00727040">
            <w:pPr>
              <w:jc w:val="center"/>
            </w:pPr>
            <w:r>
              <w:t>Радиационная стерилизация</w:t>
            </w:r>
          </w:p>
        </w:tc>
      </w:tr>
    </w:tbl>
    <w:p w14:paraId="544D5FE5" w14:textId="3848BC46" w:rsidR="00853332" w:rsidRDefault="00853332" w:rsidP="00853332">
      <w:pPr>
        <w:ind w:left="-5"/>
        <w:jc w:val="both"/>
      </w:pPr>
    </w:p>
    <w:p w14:paraId="596B8B11" w14:textId="637780B7" w:rsidR="00A34848" w:rsidRPr="005469F2" w:rsidRDefault="00A34848" w:rsidP="00853332">
      <w:pPr>
        <w:ind w:left="-5"/>
        <w:jc w:val="both"/>
      </w:pPr>
      <w:r w:rsidRPr="00B91B74">
        <w:rPr>
          <w:b/>
          <w:bCs/>
          <w:kern w:val="32"/>
        </w:rPr>
        <w:t>ХХ</w:t>
      </w:r>
      <w:r w:rsidR="000103F2">
        <w:rPr>
          <w:b/>
          <w:bCs/>
          <w:kern w:val="32"/>
          <w:lang w:val="en-US"/>
        </w:rPr>
        <w:t>V</w:t>
      </w:r>
      <w:r w:rsidR="000103F2" w:rsidRPr="005469F2">
        <w:rPr>
          <w:b/>
          <w:bCs/>
          <w:kern w:val="32"/>
        </w:rPr>
        <w:t xml:space="preserve">. </w:t>
      </w:r>
      <w:r w:rsidR="005469F2">
        <w:rPr>
          <w:b/>
          <w:bCs/>
          <w:kern w:val="32"/>
        </w:rPr>
        <w:t>Сведения о производителе и уполномоченном представителе производителя</w:t>
      </w:r>
    </w:p>
    <w:p w14:paraId="0985145E" w14:textId="77777777" w:rsidR="00A34848" w:rsidRPr="00853332" w:rsidRDefault="00A34848" w:rsidP="00853332">
      <w:pPr>
        <w:ind w:left="-5"/>
        <w:jc w:val="both"/>
      </w:pPr>
    </w:p>
    <w:p w14:paraId="70DC571A" w14:textId="77777777" w:rsidR="005469F2" w:rsidRPr="005469F2" w:rsidRDefault="00A61F70" w:rsidP="00853332">
      <w:pPr>
        <w:jc w:val="both"/>
        <w:rPr>
          <w:lang w:val="en-US"/>
        </w:rPr>
      </w:pPr>
      <w:r w:rsidRPr="005469F2">
        <w:rPr>
          <w:b/>
          <w:bCs/>
        </w:rPr>
        <w:t>Производитель</w:t>
      </w:r>
      <w:r w:rsidRPr="005469F2">
        <w:rPr>
          <w:lang w:val="en-US"/>
        </w:rPr>
        <w:t>:</w:t>
      </w:r>
    </w:p>
    <w:p w14:paraId="30DFAF77" w14:textId="4A13B38F" w:rsidR="00A61F70" w:rsidRPr="005469F2" w:rsidRDefault="00A61F70" w:rsidP="00853332">
      <w:pPr>
        <w:jc w:val="both"/>
        <w:rPr>
          <w:lang w:val="en-US"/>
        </w:rPr>
      </w:pPr>
      <w:r w:rsidRPr="005469F2">
        <w:rPr>
          <w:lang w:val="en-US"/>
        </w:rPr>
        <w:t xml:space="preserve">Beijing </w:t>
      </w:r>
      <w:proofErr w:type="spellStart"/>
      <w:r w:rsidRPr="005469F2">
        <w:rPr>
          <w:lang w:val="en-US"/>
        </w:rPr>
        <w:t>Wantai</w:t>
      </w:r>
      <w:proofErr w:type="spellEnd"/>
      <w:r w:rsidRPr="005469F2">
        <w:rPr>
          <w:lang w:val="en-US"/>
        </w:rPr>
        <w:t xml:space="preserve"> Biological Pharmacy Enterprise Co., Ltd.</w:t>
      </w:r>
    </w:p>
    <w:p w14:paraId="4B990C88" w14:textId="77777777" w:rsidR="00853332" w:rsidRPr="005469F2" w:rsidRDefault="00853332" w:rsidP="00853332">
      <w:r w:rsidRPr="005469F2">
        <w:t>(«</w:t>
      </w:r>
      <w:proofErr w:type="spellStart"/>
      <w:r w:rsidRPr="005469F2">
        <w:t>Бейджинг</w:t>
      </w:r>
      <w:proofErr w:type="spellEnd"/>
      <w:r w:rsidRPr="005469F2">
        <w:t xml:space="preserve"> </w:t>
      </w:r>
      <w:proofErr w:type="spellStart"/>
      <w:r w:rsidRPr="005469F2">
        <w:t>Вантай</w:t>
      </w:r>
      <w:proofErr w:type="spellEnd"/>
      <w:r w:rsidRPr="005469F2">
        <w:t xml:space="preserve"> </w:t>
      </w:r>
      <w:proofErr w:type="spellStart"/>
      <w:r w:rsidRPr="005469F2">
        <w:t>Биолоджикал</w:t>
      </w:r>
      <w:proofErr w:type="spellEnd"/>
      <w:r w:rsidRPr="005469F2">
        <w:t xml:space="preserve"> </w:t>
      </w:r>
      <w:proofErr w:type="spellStart"/>
      <w:r w:rsidRPr="005469F2">
        <w:t>Фармаси</w:t>
      </w:r>
      <w:proofErr w:type="spellEnd"/>
      <w:r w:rsidRPr="005469F2">
        <w:t xml:space="preserve"> Энтерпрайз Ко., Лтд.»)</w:t>
      </w:r>
    </w:p>
    <w:p w14:paraId="105B3F14" w14:textId="15D16730" w:rsidR="00A61F70" w:rsidRPr="00731DEA" w:rsidRDefault="00A61F70" w:rsidP="00853332">
      <w:pPr>
        <w:jc w:val="both"/>
        <w:rPr>
          <w:rStyle w:val="6"/>
          <w:rFonts w:ascii="Times New Roman" w:hAnsi="Times New Roman" w:cs="Times New Roman"/>
          <w:color w:val="auto"/>
          <w:sz w:val="24"/>
          <w:szCs w:val="24"/>
        </w:rPr>
      </w:pPr>
      <w:r w:rsidRPr="00853332">
        <w:t>Адрес</w:t>
      </w:r>
      <w:r w:rsidRPr="00AB6451">
        <w:rPr>
          <w:lang w:val="en-US"/>
        </w:rPr>
        <w:t xml:space="preserve">: </w:t>
      </w:r>
      <w:r w:rsidR="0009079B" w:rsidRPr="0009079B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No.31, </w:t>
      </w:r>
      <w:proofErr w:type="spellStart"/>
      <w:r w:rsidR="0009079B" w:rsidRPr="0009079B">
        <w:rPr>
          <w:rStyle w:val="6"/>
          <w:rFonts w:ascii="Times New Roman" w:hAnsi="Times New Roman" w:cs="Times New Roman"/>
          <w:color w:val="auto"/>
          <w:sz w:val="24"/>
          <w:szCs w:val="24"/>
        </w:rPr>
        <w:t>Kexueyuan</w:t>
      </w:r>
      <w:proofErr w:type="spellEnd"/>
      <w:r w:rsidR="0009079B" w:rsidRPr="0009079B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 Road, </w:t>
      </w:r>
      <w:proofErr w:type="spellStart"/>
      <w:r w:rsidR="0009079B" w:rsidRPr="0009079B">
        <w:rPr>
          <w:rStyle w:val="6"/>
          <w:rFonts w:ascii="Times New Roman" w:hAnsi="Times New Roman" w:cs="Times New Roman"/>
          <w:color w:val="auto"/>
          <w:sz w:val="24"/>
          <w:szCs w:val="24"/>
        </w:rPr>
        <w:t>Changping</w:t>
      </w:r>
      <w:proofErr w:type="spellEnd"/>
      <w:r w:rsidR="0009079B" w:rsidRPr="0009079B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 District, Beijing, P.R. China, 102206</w:t>
      </w:r>
      <w:r w:rsidR="00731DEA" w:rsidRPr="00731DEA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31DEA"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  <w:t>Китай</w:t>
      </w:r>
      <w:r w:rsidR="00731DEA" w:rsidRPr="00731DEA">
        <w:rPr>
          <w:rStyle w:val="6"/>
          <w:rFonts w:ascii="Times New Roman" w:hAnsi="Times New Roman" w:cs="Times New Roman"/>
          <w:color w:val="auto"/>
          <w:sz w:val="24"/>
          <w:szCs w:val="24"/>
        </w:rPr>
        <w:t>)</w:t>
      </w:r>
    </w:p>
    <w:p w14:paraId="79696787" w14:textId="4ED21CAB" w:rsidR="00A61F70" w:rsidRPr="00853332" w:rsidRDefault="00A61F70" w:rsidP="00853332">
      <w:pPr>
        <w:jc w:val="both"/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3332"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Тел.: </w:t>
      </w:r>
      <w:r w:rsidR="006F5E7C" w:rsidRPr="006F5E7C"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  <w:t>+ 86 108-07288</w:t>
      </w:r>
      <w:r w:rsidR="00196FA1"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  <w:t>88</w:t>
      </w:r>
    </w:p>
    <w:p w14:paraId="5BB58C0E" w14:textId="4B70B060" w:rsidR="00A61F70" w:rsidRPr="006F5E7C" w:rsidRDefault="00A61F70" w:rsidP="005469F2">
      <w:pPr>
        <w:jc w:val="both"/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F5E7C"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Электронная почта: </w:t>
      </w:r>
      <w:bookmarkStart w:id="2" w:name="_Hlk75937249"/>
      <w:r w:rsidR="006F5E7C" w:rsidRPr="006F5E7C">
        <w:fldChar w:fldCharType="begin"/>
      </w:r>
      <w:r w:rsidR="006F5E7C" w:rsidRPr="006F5E7C">
        <w:instrText xml:space="preserve"> HYPERLINK "mailto:wtexport@ystwt.com" \t "_blank" </w:instrText>
      </w:r>
      <w:r w:rsidR="006F5E7C" w:rsidRPr="006F5E7C">
        <w:fldChar w:fldCharType="separate"/>
      </w:r>
      <w:r w:rsidR="006F5E7C" w:rsidRPr="006F5E7C">
        <w:rPr>
          <w:rStyle w:val="a4"/>
          <w:color w:val="auto"/>
          <w:shd w:val="clear" w:color="auto" w:fill="FFFFFF"/>
        </w:rPr>
        <w:t>wtexport@ystwt.com</w:t>
      </w:r>
      <w:r w:rsidR="006F5E7C" w:rsidRPr="006F5E7C">
        <w:rPr>
          <w:rStyle w:val="a4"/>
          <w:color w:val="auto"/>
          <w:shd w:val="clear" w:color="auto" w:fill="FFFFFF"/>
        </w:rPr>
        <w:fldChar w:fldCharType="end"/>
      </w:r>
      <w:bookmarkEnd w:id="2"/>
    </w:p>
    <w:p w14:paraId="5ECAEDCB" w14:textId="621C90E7" w:rsidR="00A61F70" w:rsidRDefault="00A61F70" w:rsidP="005469F2">
      <w:pPr>
        <w:jc w:val="both"/>
        <w:rPr>
          <w:rStyle w:val="a4"/>
          <w:color w:val="auto"/>
        </w:rPr>
      </w:pPr>
      <w:r w:rsidRPr="00853332"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Веб-сайт: </w:t>
      </w:r>
      <w:hyperlink r:id="rId32" w:history="1">
        <w:r w:rsidRPr="00853332">
          <w:rPr>
            <w:rStyle w:val="a4"/>
            <w:color w:val="auto"/>
          </w:rPr>
          <w:t>www.ystwt.com</w:t>
        </w:r>
      </w:hyperlink>
    </w:p>
    <w:p w14:paraId="7CEFE25A" w14:textId="77777777" w:rsidR="005469F2" w:rsidRPr="005469F2" w:rsidRDefault="005469F2" w:rsidP="005469F2">
      <w:pPr>
        <w:jc w:val="both"/>
        <w:rPr>
          <w:rStyle w:val="a4"/>
          <w:color w:val="auto"/>
          <w:u w:val="none"/>
        </w:rPr>
      </w:pPr>
    </w:p>
    <w:p w14:paraId="079DE0C7" w14:textId="7D876489" w:rsidR="00A61F70" w:rsidRPr="00853332" w:rsidRDefault="00A61F70" w:rsidP="00853332">
      <w:pPr>
        <w:ind w:firstLine="32"/>
        <w:jc w:val="both"/>
        <w:rPr>
          <w:rFonts w:eastAsia="Arial"/>
          <w:b/>
        </w:rPr>
      </w:pPr>
      <w:r w:rsidRPr="00853332">
        <w:rPr>
          <w:rStyle w:val="a4"/>
          <w:b/>
          <w:bCs/>
          <w:color w:val="auto"/>
          <w:u w:val="none"/>
        </w:rPr>
        <w:t>Уполномоченн</w:t>
      </w:r>
      <w:r w:rsidR="005469F2">
        <w:rPr>
          <w:rStyle w:val="a4"/>
          <w:b/>
          <w:bCs/>
          <w:color w:val="auto"/>
          <w:u w:val="none"/>
        </w:rPr>
        <w:t>ый представитель производителя</w:t>
      </w:r>
      <w:r w:rsidRPr="00853332">
        <w:rPr>
          <w:rStyle w:val="a4"/>
          <w:b/>
          <w:bCs/>
          <w:color w:val="auto"/>
          <w:u w:val="none"/>
        </w:rPr>
        <w:t xml:space="preserve"> в Российской Федерации:</w:t>
      </w:r>
    </w:p>
    <w:p w14:paraId="4EC4F401" w14:textId="6AD76A3B" w:rsidR="00A61F70" w:rsidRPr="00853332" w:rsidRDefault="00A61F70" w:rsidP="00853332">
      <w:pPr>
        <w:pStyle w:val="ae"/>
        <w:ind w:left="32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53332">
        <w:rPr>
          <w:rFonts w:ascii="Times New Roman" w:hAnsi="Times New Roman" w:cs="Times New Roman"/>
          <w:sz w:val="24"/>
          <w:szCs w:val="24"/>
          <w:lang w:bidi="en-US"/>
        </w:rPr>
        <w:t>ООО «КОСМОФАРМ»</w:t>
      </w:r>
    </w:p>
    <w:p w14:paraId="74D1AFAA" w14:textId="40AAECBD" w:rsidR="00A61F70" w:rsidRPr="00853332" w:rsidRDefault="00A61F70" w:rsidP="00853332">
      <w:pPr>
        <w:pStyle w:val="ae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53332">
        <w:rPr>
          <w:rFonts w:ascii="Times New Roman" w:hAnsi="Times New Roman" w:cs="Times New Roman"/>
          <w:sz w:val="24"/>
          <w:szCs w:val="24"/>
          <w:lang w:bidi="en-US"/>
        </w:rPr>
        <w:t>Юридический адрес: 107076, г. Москва, ул. Стромынка, д. 19, корп. 2, помещение 128, комната 7</w:t>
      </w:r>
      <w:r w:rsidR="007A2D3D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2B4CFCC7" w14:textId="3FFF65B8" w:rsidR="00A61F70" w:rsidRPr="00853332" w:rsidRDefault="00A61F70" w:rsidP="00853332">
      <w:pPr>
        <w:pStyle w:val="ae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53332">
        <w:rPr>
          <w:rFonts w:ascii="Times New Roman" w:hAnsi="Times New Roman" w:cs="Times New Roman"/>
          <w:sz w:val="24"/>
          <w:szCs w:val="24"/>
          <w:lang w:bidi="en-US"/>
        </w:rPr>
        <w:t xml:space="preserve">Для корреспонденции: </w:t>
      </w:r>
      <w:r w:rsidR="006F5E7C" w:rsidRPr="006F5E7C">
        <w:rPr>
          <w:rFonts w:ascii="Times New Roman" w:hAnsi="Times New Roman" w:cs="Times New Roman"/>
          <w:sz w:val="24"/>
          <w:szCs w:val="24"/>
          <w:lang w:bidi="en-US"/>
        </w:rPr>
        <w:t xml:space="preserve">105120, Москва, улица </w:t>
      </w:r>
      <w:proofErr w:type="spellStart"/>
      <w:r w:rsidR="006F5E7C" w:rsidRPr="006F5E7C">
        <w:rPr>
          <w:rFonts w:ascii="Times New Roman" w:hAnsi="Times New Roman" w:cs="Times New Roman"/>
          <w:sz w:val="24"/>
          <w:szCs w:val="24"/>
          <w:lang w:bidi="en-US"/>
        </w:rPr>
        <w:t>Золоторожский</w:t>
      </w:r>
      <w:proofErr w:type="spellEnd"/>
      <w:r w:rsidR="006F5E7C" w:rsidRPr="006F5E7C">
        <w:rPr>
          <w:rFonts w:ascii="Times New Roman" w:hAnsi="Times New Roman" w:cs="Times New Roman"/>
          <w:sz w:val="24"/>
          <w:szCs w:val="24"/>
          <w:lang w:bidi="en-US"/>
        </w:rPr>
        <w:t xml:space="preserve"> Вал, д. 11, стр. 38, бизнес-центр «Серпантин», 3 этаж</w:t>
      </w:r>
      <w:r w:rsidR="007A2D3D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438A270C" w14:textId="1A0B6B91" w:rsidR="00A61F70" w:rsidRPr="00853332" w:rsidRDefault="00A61F70" w:rsidP="00853332">
      <w:pPr>
        <w:pStyle w:val="ae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53332">
        <w:rPr>
          <w:rFonts w:ascii="Times New Roman" w:hAnsi="Times New Roman" w:cs="Times New Roman"/>
          <w:sz w:val="24"/>
          <w:szCs w:val="24"/>
          <w:lang w:bidi="en-US"/>
        </w:rPr>
        <w:t>Тел./Факс +7 (495) 644-00-31</w:t>
      </w:r>
    </w:p>
    <w:p w14:paraId="2608DF83" w14:textId="432A467C" w:rsidR="00A61F70" w:rsidRPr="00196FA1" w:rsidRDefault="00A61F70" w:rsidP="00853332">
      <w:pPr>
        <w:pStyle w:val="ae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853332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196FA1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853332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proofErr w:type="gramEnd"/>
      <w:r w:rsidRPr="00196FA1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hyperlink r:id="rId33" w:history="1">
        <w:r w:rsidRPr="0085333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office</w:t>
        </w:r>
        <w:r w:rsidRPr="00196FA1">
          <w:rPr>
            <w:rStyle w:val="a4"/>
            <w:rFonts w:ascii="Times New Roman" w:hAnsi="Times New Roman" w:cs="Times New Roman"/>
            <w:color w:val="auto"/>
            <w:sz w:val="24"/>
            <w:szCs w:val="24"/>
            <w:lang w:bidi="en-US"/>
          </w:rPr>
          <w:t>@</w:t>
        </w:r>
        <w:proofErr w:type="spellStart"/>
        <w:r w:rsidRPr="0085333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cosmopharm</w:t>
        </w:r>
        <w:proofErr w:type="spellEnd"/>
        <w:r w:rsidRPr="00196FA1">
          <w:rPr>
            <w:rStyle w:val="a4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Pr="0085333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</w:hyperlink>
    </w:p>
    <w:p w14:paraId="3D736A80" w14:textId="76A0FF37" w:rsidR="00A61F70" w:rsidRPr="00196FA1" w:rsidRDefault="007A2D3D" w:rsidP="00853332">
      <w:pPr>
        <w:pStyle w:val="ae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lang w:bidi="en-US"/>
        </w:rPr>
      </w:pPr>
      <w:r w:rsidRPr="00853332"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  <w:t>Веб</w:t>
      </w:r>
      <w:r w:rsidRPr="00196FA1"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Pr="00853332"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  <w:t>сайт</w:t>
      </w:r>
      <w:r w:rsidRPr="00196FA1">
        <w:rPr>
          <w:rStyle w:val="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hyperlink r:id="rId34" w:history="1">
        <w:r w:rsidR="00A61F70" w:rsidRPr="0085333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www</w:t>
        </w:r>
        <w:r w:rsidR="00A61F70" w:rsidRPr="00196FA1">
          <w:rPr>
            <w:rStyle w:val="a4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A61F70" w:rsidRPr="0085333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cosmopharm</w:t>
        </w:r>
        <w:proofErr w:type="spellEnd"/>
        <w:r w:rsidR="00A61F70" w:rsidRPr="00196FA1">
          <w:rPr>
            <w:rStyle w:val="a4"/>
            <w:rFonts w:ascii="Times New Roman" w:hAnsi="Times New Roman" w:cs="Times New Roman"/>
            <w:color w:val="auto"/>
            <w:sz w:val="24"/>
            <w:szCs w:val="24"/>
            <w:lang w:bidi="en-US"/>
          </w:rPr>
          <w:t>.</w:t>
        </w:r>
        <w:proofErr w:type="spellStart"/>
        <w:r w:rsidR="00A61F70" w:rsidRPr="0085333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bidi="en-US"/>
          </w:rPr>
          <w:t>ru</w:t>
        </w:r>
        <w:proofErr w:type="spellEnd"/>
      </w:hyperlink>
    </w:p>
    <w:p w14:paraId="766A17E6" w14:textId="5F23D0E2" w:rsidR="00A61F70" w:rsidRPr="00196FA1" w:rsidRDefault="00A61F70" w:rsidP="00853332">
      <w:pPr>
        <w:ind w:left="-5"/>
        <w:jc w:val="both"/>
        <w:rPr>
          <w:bCs/>
        </w:rPr>
      </w:pPr>
    </w:p>
    <w:p w14:paraId="7C115187" w14:textId="7A91C771" w:rsidR="00A61F70" w:rsidRPr="00196FA1" w:rsidRDefault="000103F2" w:rsidP="00853332">
      <w:pPr>
        <w:ind w:left="-5"/>
        <w:jc w:val="both"/>
        <w:rPr>
          <w:b/>
        </w:rPr>
      </w:pPr>
      <w:r w:rsidRPr="000103F2">
        <w:rPr>
          <w:b/>
          <w:lang w:val="en-US"/>
        </w:rPr>
        <w:t>XXV</w:t>
      </w:r>
      <w:r w:rsidR="00324230">
        <w:rPr>
          <w:b/>
          <w:lang w:val="en-US"/>
        </w:rPr>
        <w:t>I</w:t>
      </w:r>
      <w:r w:rsidRPr="00196FA1">
        <w:rPr>
          <w:b/>
        </w:rPr>
        <w:t xml:space="preserve">. </w:t>
      </w:r>
      <w:r w:rsidR="00A61F70" w:rsidRPr="000103F2">
        <w:rPr>
          <w:b/>
        </w:rPr>
        <w:t>Литература</w:t>
      </w:r>
    </w:p>
    <w:p w14:paraId="39ABB5A9" w14:textId="0B64E206" w:rsidR="00A61F70" w:rsidRPr="00196FA1" w:rsidRDefault="00A61F70" w:rsidP="00853332">
      <w:pPr>
        <w:ind w:left="-5"/>
        <w:jc w:val="both"/>
        <w:rPr>
          <w:bCs/>
        </w:rPr>
      </w:pPr>
    </w:p>
    <w:p w14:paraId="383FBA8D" w14:textId="7957E4BA" w:rsidR="00A61F70" w:rsidRDefault="003D508B" w:rsidP="00853332">
      <w:pPr>
        <w:ind w:left="-5"/>
        <w:jc w:val="both"/>
        <w:rPr>
          <w:bCs/>
          <w:lang w:val="en-US"/>
        </w:rPr>
      </w:pPr>
      <w:r w:rsidRPr="00351F27">
        <w:rPr>
          <w:bCs/>
          <w:lang w:val="en-US"/>
        </w:rPr>
        <w:t>1)</w:t>
      </w:r>
      <w:r w:rsidRPr="00351F27">
        <w:rPr>
          <w:bCs/>
          <w:lang w:val="en-US"/>
        </w:rPr>
        <w:tab/>
        <w:t>Lauer, S.A., et al.</w:t>
      </w:r>
      <w:r w:rsidR="00646E5C" w:rsidRPr="00351F27">
        <w:rPr>
          <w:bCs/>
          <w:lang w:val="en-US"/>
        </w:rPr>
        <w:t xml:space="preserve"> The incubation period </w:t>
      </w:r>
      <w:r w:rsidR="00C40ACC" w:rsidRPr="00351F27">
        <w:rPr>
          <w:bCs/>
          <w:lang w:val="en-US"/>
        </w:rPr>
        <w:t xml:space="preserve">of Coronavirus disease 2019 </w:t>
      </w:r>
      <w:r w:rsidR="002807AB" w:rsidRPr="00351F27">
        <w:rPr>
          <w:bCs/>
          <w:lang w:val="en-US"/>
        </w:rPr>
        <w:t xml:space="preserve">(COVID-19) from confirmed cases: estimation and application. </w:t>
      </w:r>
      <w:proofErr w:type="spellStart"/>
      <w:proofErr w:type="gramStart"/>
      <w:r w:rsidR="002807AB" w:rsidRPr="00351F27">
        <w:rPr>
          <w:bCs/>
          <w:lang w:val="en-US"/>
        </w:rPr>
        <w:t>doi</w:t>
      </w:r>
      <w:proofErr w:type="spellEnd"/>
      <w:proofErr w:type="gramEnd"/>
      <w:r w:rsidR="00351F27" w:rsidRPr="00351F27">
        <w:rPr>
          <w:bCs/>
          <w:lang w:val="en-US"/>
        </w:rPr>
        <w:t>:</w:t>
      </w:r>
      <w:r w:rsidR="002807AB" w:rsidRPr="00351F27">
        <w:rPr>
          <w:bCs/>
          <w:lang w:val="en-US"/>
        </w:rPr>
        <w:t xml:space="preserve"> </w:t>
      </w:r>
      <w:hyperlink r:id="rId35" w:history="1">
        <w:r w:rsidR="00FA574B" w:rsidRPr="00B17D4D">
          <w:rPr>
            <w:rStyle w:val="a4"/>
            <w:bCs/>
            <w:lang w:val="en-US"/>
          </w:rPr>
          <w:t>https://doi.org/10.7326/M20-0504</w:t>
        </w:r>
      </w:hyperlink>
    </w:p>
    <w:p w14:paraId="4EBA54D7" w14:textId="03322C41" w:rsidR="003D508B" w:rsidRDefault="003D508B" w:rsidP="00853332">
      <w:pPr>
        <w:ind w:left="-5"/>
        <w:jc w:val="both"/>
        <w:rPr>
          <w:bCs/>
          <w:lang w:val="en-US"/>
        </w:rPr>
      </w:pPr>
      <w:r w:rsidRPr="00351F27">
        <w:rPr>
          <w:bCs/>
          <w:lang w:val="en-US"/>
        </w:rPr>
        <w:t>2)</w:t>
      </w:r>
      <w:r w:rsidRPr="00351F27">
        <w:rPr>
          <w:bCs/>
          <w:lang w:val="en-US"/>
        </w:rPr>
        <w:tab/>
        <w:t xml:space="preserve">Bo </w:t>
      </w:r>
      <w:proofErr w:type="spellStart"/>
      <w:r w:rsidRPr="00351F27">
        <w:rPr>
          <w:bCs/>
          <w:lang w:val="en-US"/>
        </w:rPr>
        <w:t>Diao</w:t>
      </w:r>
      <w:proofErr w:type="spellEnd"/>
      <w:r w:rsidRPr="00351F27">
        <w:rPr>
          <w:bCs/>
          <w:lang w:val="en-US"/>
        </w:rPr>
        <w:t xml:space="preserve"> et al.</w:t>
      </w:r>
      <w:r w:rsidR="00351F27" w:rsidRPr="00351F27">
        <w:rPr>
          <w:bCs/>
          <w:lang w:val="en-US"/>
        </w:rPr>
        <w:t xml:space="preserve"> Diagnosis of Acute Respiratory Syndrome Coronavirus 2 Infection by Detection of </w:t>
      </w:r>
      <w:proofErr w:type="spellStart"/>
      <w:r w:rsidR="00351F27" w:rsidRPr="00351F27">
        <w:rPr>
          <w:bCs/>
          <w:lang w:val="en-US"/>
        </w:rPr>
        <w:t>Nucleocapsid</w:t>
      </w:r>
      <w:proofErr w:type="spellEnd"/>
      <w:r w:rsidR="00351F27" w:rsidRPr="00351F27">
        <w:rPr>
          <w:bCs/>
          <w:lang w:val="en-US"/>
        </w:rPr>
        <w:t xml:space="preserve"> Protein. </w:t>
      </w:r>
      <w:proofErr w:type="spellStart"/>
      <w:proofErr w:type="gramStart"/>
      <w:r w:rsidR="00351F27" w:rsidRPr="00351F27">
        <w:rPr>
          <w:bCs/>
          <w:lang w:val="en-US"/>
        </w:rPr>
        <w:t>doi</w:t>
      </w:r>
      <w:proofErr w:type="spellEnd"/>
      <w:proofErr w:type="gramEnd"/>
      <w:r w:rsidR="00351F27" w:rsidRPr="00351F27">
        <w:rPr>
          <w:bCs/>
          <w:lang w:val="en-US"/>
        </w:rPr>
        <w:t xml:space="preserve">: </w:t>
      </w:r>
      <w:hyperlink r:id="rId36" w:history="1">
        <w:r w:rsidR="00FA574B" w:rsidRPr="00B17D4D">
          <w:rPr>
            <w:rStyle w:val="a4"/>
            <w:bCs/>
            <w:lang w:val="en-US"/>
          </w:rPr>
          <w:t>https://doi.org/10.1101/2020.03.07.20032524</w:t>
        </w:r>
      </w:hyperlink>
    </w:p>
    <w:p w14:paraId="1BE7114A" w14:textId="4755274E" w:rsidR="003D508B" w:rsidRPr="00FA574B" w:rsidRDefault="003D508B" w:rsidP="00853332">
      <w:pPr>
        <w:ind w:left="-5"/>
        <w:jc w:val="both"/>
        <w:rPr>
          <w:bCs/>
          <w:lang w:val="en-US"/>
        </w:rPr>
      </w:pPr>
      <w:r w:rsidRPr="00351F27">
        <w:rPr>
          <w:bCs/>
          <w:lang w:val="en-US"/>
        </w:rPr>
        <w:t>3)</w:t>
      </w:r>
      <w:r w:rsidRPr="00351F27">
        <w:rPr>
          <w:bCs/>
          <w:lang w:val="en-US"/>
        </w:rPr>
        <w:tab/>
      </w:r>
      <w:hyperlink r:id="rId37" w:history="1">
        <w:r w:rsidR="00FA574B" w:rsidRPr="00B17D4D">
          <w:rPr>
            <w:rStyle w:val="a4"/>
            <w:bCs/>
            <w:lang w:val="en-US"/>
          </w:rPr>
          <w:t>https://www.who.int/emergencies/diseases/novel-coronavirus-2019</w:t>
        </w:r>
      </w:hyperlink>
      <w:r w:rsidR="00FA574B" w:rsidRPr="00FA574B">
        <w:rPr>
          <w:bCs/>
          <w:lang w:val="en-US"/>
        </w:rPr>
        <w:t xml:space="preserve"> </w:t>
      </w:r>
    </w:p>
    <w:sectPr w:rsidR="003D508B" w:rsidRPr="00FA574B" w:rsidSect="003D2D2B">
      <w:footerReference w:type="even" r:id="rId38"/>
      <w:footerReference w:type="default" r:id="rId39"/>
      <w:footerReference w:type="firs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AD629" w14:textId="77777777" w:rsidR="00084F23" w:rsidRDefault="00084F23">
      <w:r>
        <w:separator/>
      </w:r>
    </w:p>
  </w:endnote>
  <w:endnote w:type="continuationSeparator" w:id="0">
    <w:p w14:paraId="2FA6E33C" w14:textId="77777777" w:rsidR="00084F23" w:rsidRDefault="0008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C989D" w14:textId="77777777" w:rsidR="008A1194" w:rsidRDefault="008A1194">
    <w:pPr>
      <w:spacing w:line="259" w:lineRule="auto"/>
      <w:ind w:right="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2</w:t>
    </w:r>
    <w:r>
      <w:rPr>
        <w:rFonts w:ascii="Calibri" w:eastAsia="Calibri" w:hAnsi="Calibri" w:cs="Calibri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0BF0" w14:textId="36BC4A6A" w:rsidR="008A1194" w:rsidRDefault="008A1194">
    <w:pPr>
      <w:spacing w:line="259" w:lineRule="auto"/>
      <w:ind w:right="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D7B" w:rsidRPr="00F66D7B">
      <w:rPr>
        <w:rFonts w:ascii="Calibri" w:eastAsia="Calibri" w:hAnsi="Calibri" w:cs="Calibri"/>
        <w:noProof/>
        <w:sz w:val="21"/>
      </w:rPr>
      <w:t>14</w:t>
    </w:r>
    <w:r>
      <w:rPr>
        <w:rFonts w:ascii="Calibri" w:eastAsia="Calibri" w:hAnsi="Calibri" w:cs="Calibri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3CB55" w14:textId="77777777" w:rsidR="008A1194" w:rsidRDefault="008A1194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F4C3F" w14:textId="77777777" w:rsidR="00084F23" w:rsidRDefault="00084F23">
      <w:r>
        <w:separator/>
      </w:r>
    </w:p>
  </w:footnote>
  <w:footnote w:type="continuationSeparator" w:id="0">
    <w:p w14:paraId="00AAB98E" w14:textId="77777777" w:rsidR="00084F23" w:rsidRDefault="0008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5B9"/>
    <w:multiLevelType w:val="hybridMultilevel"/>
    <w:tmpl w:val="E722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7F0"/>
    <w:multiLevelType w:val="hybridMultilevel"/>
    <w:tmpl w:val="F58E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3952"/>
    <w:multiLevelType w:val="hybridMultilevel"/>
    <w:tmpl w:val="9D04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2C29"/>
    <w:multiLevelType w:val="multilevel"/>
    <w:tmpl w:val="DA1CF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44" w:hanging="1800"/>
      </w:pPr>
      <w:rPr>
        <w:rFonts w:hint="default"/>
      </w:rPr>
    </w:lvl>
  </w:abstractNum>
  <w:abstractNum w:abstractNumId="4" w15:restartNumberingAfterBreak="0">
    <w:nsid w:val="2F8E127E"/>
    <w:multiLevelType w:val="multilevel"/>
    <w:tmpl w:val="77E626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44" w:hanging="1800"/>
      </w:pPr>
      <w:rPr>
        <w:rFonts w:hint="default"/>
      </w:rPr>
    </w:lvl>
  </w:abstractNum>
  <w:abstractNum w:abstractNumId="5" w15:restartNumberingAfterBreak="0">
    <w:nsid w:val="401E11F9"/>
    <w:multiLevelType w:val="multilevel"/>
    <w:tmpl w:val="9BD6C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44" w:hanging="1800"/>
      </w:pPr>
      <w:rPr>
        <w:rFonts w:hint="default"/>
      </w:rPr>
    </w:lvl>
  </w:abstractNum>
  <w:abstractNum w:abstractNumId="6" w15:restartNumberingAfterBreak="0">
    <w:nsid w:val="582E2B42"/>
    <w:multiLevelType w:val="hybridMultilevel"/>
    <w:tmpl w:val="3ABCB7AC"/>
    <w:lvl w:ilvl="0" w:tplc="6BD6534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7F79"/>
    <w:multiLevelType w:val="hybridMultilevel"/>
    <w:tmpl w:val="BDDC51EC"/>
    <w:lvl w:ilvl="0" w:tplc="04190001">
      <w:start w:val="1"/>
      <w:numFmt w:val="bullet"/>
      <w:lvlText w:val=""/>
      <w:lvlJc w:val="left"/>
      <w:pPr>
        <w:ind w:left="347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A0C7B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6EA9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A8DE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4030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5688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9AB5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88B8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2AB1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2755A0"/>
    <w:multiLevelType w:val="hybridMultilevel"/>
    <w:tmpl w:val="987E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234D9"/>
    <w:multiLevelType w:val="hybridMultilevel"/>
    <w:tmpl w:val="3E300612"/>
    <w:lvl w:ilvl="0" w:tplc="04190001">
      <w:start w:val="1"/>
      <w:numFmt w:val="bullet"/>
      <w:lvlText w:val=""/>
      <w:lvlJc w:val="left"/>
      <w:pPr>
        <w:ind w:left="347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A0C7B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6EA9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A8DE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4030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5688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9AB5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88B8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2AB1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BB43D9"/>
    <w:multiLevelType w:val="hybridMultilevel"/>
    <w:tmpl w:val="49CA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F3C64"/>
    <w:multiLevelType w:val="multilevel"/>
    <w:tmpl w:val="DA1CF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4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FC"/>
    <w:rsid w:val="000067E6"/>
    <w:rsid w:val="000077FC"/>
    <w:rsid w:val="000103F2"/>
    <w:rsid w:val="00012B17"/>
    <w:rsid w:val="000218A0"/>
    <w:rsid w:val="00030933"/>
    <w:rsid w:val="0003320D"/>
    <w:rsid w:val="000454E1"/>
    <w:rsid w:val="000533A2"/>
    <w:rsid w:val="000555B7"/>
    <w:rsid w:val="0006027C"/>
    <w:rsid w:val="0006539D"/>
    <w:rsid w:val="0007507F"/>
    <w:rsid w:val="00084F23"/>
    <w:rsid w:val="00086CA2"/>
    <w:rsid w:val="0009079B"/>
    <w:rsid w:val="000909A5"/>
    <w:rsid w:val="00091B5A"/>
    <w:rsid w:val="000944F9"/>
    <w:rsid w:val="00094F76"/>
    <w:rsid w:val="00097B74"/>
    <w:rsid w:val="000A39A8"/>
    <w:rsid w:val="000C17A9"/>
    <w:rsid w:val="000C2653"/>
    <w:rsid w:val="000C3BE9"/>
    <w:rsid w:val="000C42B1"/>
    <w:rsid w:val="000D0258"/>
    <w:rsid w:val="000D5077"/>
    <w:rsid w:val="000D738E"/>
    <w:rsid w:val="000D7427"/>
    <w:rsid w:val="000E516F"/>
    <w:rsid w:val="000F18FC"/>
    <w:rsid w:val="000F2FB5"/>
    <w:rsid w:val="000F6830"/>
    <w:rsid w:val="0010277A"/>
    <w:rsid w:val="001038E3"/>
    <w:rsid w:val="0011216D"/>
    <w:rsid w:val="00112468"/>
    <w:rsid w:val="001129B6"/>
    <w:rsid w:val="00123BE1"/>
    <w:rsid w:val="00140AAB"/>
    <w:rsid w:val="00144989"/>
    <w:rsid w:val="0014706F"/>
    <w:rsid w:val="00155C8A"/>
    <w:rsid w:val="0016133F"/>
    <w:rsid w:val="001702C3"/>
    <w:rsid w:val="00172F65"/>
    <w:rsid w:val="0017502D"/>
    <w:rsid w:val="00176255"/>
    <w:rsid w:val="001836A2"/>
    <w:rsid w:val="001846DD"/>
    <w:rsid w:val="00184A54"/>
    <w:rsid w:val="00193D34"/>
    <w:rsid w:val="00196FA1"/>
    <w:rsid w:val="001A1C2B"/>
    <w:rsid w:val="001A2FCE"/>
    <w:rsid w:val="001C295E"/>
    <w:rsid w:val="001C3940"/>
    <w:rsid w:val="001D6799"/>
    <w:rsid w:val="001E56A2"/>
    <w:rsid w:val="002039E4"/>
    <w:rsid w:val="00213D7D"/>
    <w:rsid w:val="00245F90"/>
    <w:rsid w:val="00246870"/>
    <w:rsid w:val="00247694"/>
    <w:rsid w:val="002540DD"/>
    <w:rsid w:val="00262E87"/>
    <w:rsid w:val="00272EA6"/>
    <w:rsid w:val="00276488"/>
    <w:rsid w:val="00277117"/>
    <w:rsid w:val="00277452"/>
    <w:rsid w:val="002807AB"/>
    <w:rsid w:val="002818E4"/>
    <w:rsid w:val="002852EC"/>
    <w:rsid w:val="00290852"/>
    <w:rsid w:val="00295FE0"/>
    <w:rsid w:val="0029725C"/>
    <w:rsid w:val="002B596F"/>
    <w:rsid w:val="002C488C"/>
    <w:rsid w:val="002C6059"/>
    <w:rsid w:val="002D083E"/>
    <w:rsid w:val="002D0992"/>
    <w:rsid w:val="002D50EA"/>
    <w:rsid w:val="002D71B0"/>
    <w:rsid w:val="002D79B0"/>
    <w:rsid w:val="002E28C9"/>
    <w:rsid w:val="002E6D76"/>
    <w:rsid w:val="00306688"/>
    <w:rsid w:val="003115BA"/>
    <w:rsid w:val="00317DEE"/>
    <w:rsid w:val="00324230"/>
    <w:rsid w:val="00324DC5"/>
    <w:rsid w:val="00336061"/>
    <w:rsid w:val="00346943"/>
    <w:rsid w:val="00346E38"/>
    <w:rsid w:val="00351F27"/>
    <w:rsid w:val="003529D3"/>
    <w:rsid w:val="00361D63"/>
    <w:rsid w:val="00372AAD"/>
    <w:rsid w:val="003835AD"/>
    <w:rsid w:val="003865E2"/>
    <w:rsid w:val="0039395F"/>
    <w:rsid w:val="00395B9D"/>
    <w:rsid w:val="00396585"/>
    <w:rsid w:val="00397A66"/>
    <w:rsid w:val="003A1263"/>
    <w:rsid w:val="003A4FA5"/>
    <w:rsid w:val="003D0B03"/>
    <w:rsid w:val="003D1718"/>
    <w:rsid w:val="003D2D2B"/>
    <w:rsid w:val="003D508B"/>
    <w:rsid w:val="003D5EF7"/>
    <w:rsid w:val="003D698A"/>
    <w:rsid w:val="003E1D7F"/>
    <w:rsid w:val="003F20C5"/>
    <w:rsid w:val="003F7362"/>
    <w:rsid w:val="00403A26"/>
    <w:rsid w:val="00412FFE"/>
    <w:rsid w:val="004141F6"/>
    <w:rsid w:val="00416FBA"/>
    <w:rsid w:val="004202C6"/>
    <w:rsid w:val="004305D8"/>
    <w:rsid w:val="0045137D"/>
    <w:rsid w:val="004534BE"/>
    <w:rsid w:val="00457B69"/>
    <w:rsid w:val="00463FA7"/>
    <w:rsid w:val="00475CF0"/>
    <w:rsid w:val="004964BC"/>
    <w:rsid w:val="004B6744"/>
    <w:rsid w:val="004C36E5"/>
    <w:rsid w:val="004E10C2"/>
    <w:rsid w:val="004E1F9B"/>
    <w:rsid w:val="004E48AA"/>
    <w:rsid w:val="004F049F"/>
    <w:rsid w:val="004F381F"/>
    <w:rsid w:val="004F451B"/>
    <w:rsid w:val="004F46E1"/>
    <w:rsid w:val="004F534F"/>
    <w:rsid w:val="004F553A"/>
    <w:rsid w:val="004F793A"/>
    <w:rsid w:val="0050158A"/>
    <w:rsid w:val="00505F21"/>
    <w:rsid w:val="00513AD1"/>
    <w:rsid w:val="00514A59"/>
    <w:rsid w:val="00540363"/>
    <w:rsid w:val="005446FA"/>
    <w:rsid w:val="005469F2"/>
    <w:rsid w:val="005550CD"/>
    <w:rsid w:val="005572F0"/>
    <w:rsid w:val="00560D26"/>
    <w:rsid w:val="00562245"/>
    <w:rsid w:val="00563EC5"/>
    <w:rsid w:val="00564D40"/>
    <w:rsid w:val="005746C8"/>
    <w:rsid w:val="005749FC"/>
    <w:rsid w:val="00576E93"/>
    <w:rsid w:val="00591ACC"/>
    <w:rsid w:val="00595294"/>
    <w:rsid w:val="00595FFF"/>
    <w:rsid w:val="005A5D39"/>
    <w:rsid w:val="005C0315"/>
    <w:rsid w:val="005C7B21"/>
    <w:rsid w:val="005D1F13"/>
    <w:rsid w:val="005D23CF"/>
    <w:rsid w:val="005D31F1"/>
    <w:rsid w:val="005F4220"/>
    <w:rsid w:val="00600DDB"/>
    <w:rsid w:val="00605254"/>
    <w:rsid w:val="00613033"/>
    <w:rsid w:val="0062496A"/>
    <w:rsid w:val="00630345"/>
    <w:rsid w:val="0064446F"/>
    <w:rsid w:val="0064620B"/>
    <w:rsid w:val="00646E5C"/>
    <w:rsid w:val="0065152B"/>
    <w:rsid w:val="00653085"/>
    <w:rsid w:val="00653CB0"/>
    <w:rsid w:val="00654A2B"/>
    <w:rsid w:val="00655737"/>
    <w:rsid w:val="006563DA"/>
    <w:rsid w:val="00656653"/>
    <w:rsid w:val="00672369"/>
    <w:rsid w:val="00684BFA"/>
    <w:rsid w:val="0068663D"/>
    <w:rsid w:val="006A0CC3"/>
    <w:rsid w:val="006A607D"/>
    <w:rsid w:val="006C0A29"/>
    <w:rsid w:val="006C5F25"/>
    <w:rsid w:val="006C6988"/>
    <w:rsid w:val="006C6D6E"/>
    <w:rsid w:val="006D3312"/>
    <w:rsid w:val="006E7D10"/>
    <w:rsid w:val="006F1B14"/>
    <w:rsid w:val="006F5AE1"/>
    <w:rsid w:val="006F5E7C"/>
    <w:rsid w:val="00702CA4"/>
    <w:rsid w:val="007124F9"/>
    <w:rsid w:val="007216AD"/>
    <w:rsid w:val="007220E4"/>
    <w:rsid w:val="00727040"/>
    <w:rsid w:val="00731DEA"/>
    <w:rsid w:val="0073494E"/>
    <w:rsid w:val="00737A9F"/>
    <w:rsid w:val="007441F1"/>
    <w:rsid w:val="007463DB"/>
    <w:rsid w:val="00762E65"/>
    <w:rsid w:val="00764C7F"/>
    <w:rsid w:val="00777F9A"/>
    <w:rsid w:val="00785646"/>
    <w:rsid w:val="00786A14"/>
    <w:rsid w:val="0079156F"/>
    <w:rsid w:val="00793C79"/>
    <w:rsid w:val="007A2D3D"/>
    <w:rsid w:val="007A3078"/>
    <w:rsid w:val="007C1C9D"/>
    <w:rsid w:val="007D290F"/>
    <w:rsid w:val="007D3E40"/>
    <w:rsid w:val="007D58EC"/>
    <w:rsid w:val="007E1ABE"/>
    <w:rsid w:val="007E1E10"/>
    <w:rsid w:val="007E38DE"/>
    <w:rsid w:val="007E49BC"/>
    <w:rsid w:val="007E52D9"/>
    <w:rsid w:val="007E640C"/>
    <w:rsid w:val="008030AA"/>
    <w:rsid w:val="008167CF"/>
    <w:rsid w:val="00821132"/>
    <w:rsid w:val="0083677A"/>
    <w:rsid w:val="00837787"/>
    <w:rsid w:val="00840AFB"/>
    <w:rsid w:val="00844BF9"/>
    <w:rsid w:val="008454B2"/>
    <w:rsid w:val="00847A1E"/>
    <w:rsid w:val="0085063F"/>
    <w:rsid w:val="00850C52"/>
    <w:rsid w:val="00853332"/>
    <w:rsid w:val="00860802"/>
    <w:rsid w:val="0086144A"/>
    <w:rsid w:val="00862C2C"/>
    <w:rsid w:val="0086525A"/>
    <w:rsid w:val="008661E2"/>
    <w:rsid w:val="00870AC8"/>
    <w:rsid w:val="0087747D"/>
    <w:rsid w:val="0088343D"/>
    <w:rsid w:val="00884981"/>
    <w:rsid w:val="008862EE"/>
    <w:rsid w:val="008A1194"/>
    <w:rsid w:val="008A6BD5"/>
    <w:rsid w:val="008B13CA"/>
    <w:rsid w:val="008C468F"/>
    <w:rsid w:val="008D1709"/>
    <w:rsid w:val="008D630A"/>
    <w:rsid w:val="008E2256"/>
    <w:rsid w:val="008F2B07"/>
    <w:rsid w:val="008F36F4"/>
    <w:rsid w:val="008F4B15"/>
    <w:rsid w:val="0090478D"/>
    <w:rsid w:val="00904D9B"/>
    <w:rsid w:val="00907D0F"/>
    <w:rsid w:val="00912001"/>
    <w:rsid w:val="00920FD8"/>
    <w:rsid w:val="00925F35"/>
    <w:rsid w:val="009335F4"/>
    <w:rsid w:val="009420A4"/>
    <w:rsid w:val="0094549D"/>
    <w:rsid w:val="00945D36"/>
    <w:rsid w:val="00945FAC"/>
    <w:rsid w:val="00956E70"/>
    <w:rsid w:val="00961A17"/>
    <w:rsid w:val="009727CD"/>
    <w:rsid w:val="00976F5F"/>
    <w:rsid w:val="009801BC"/>
    <w:rsid w:val="009835A4"/>
    <w:rsid w:val="009858B3"/>
    <w:rsid w:val="00987C1A"/>
    <w:rsid w:val="0099059E"/>
    <w:rsid w:val="009930AA"/>
    <w:rsid w:val="009A2BCD"/>
    <w:rsid w:val="009B375B"/>
    <w:rsid w:val="009B6925"/>
    <w:rsid w:val="009C47F1"/>
    <w:rsid w:val="009E4852"/>
    <w:rsid w:val="009E5604"/>
    <w:rsid w:val="009F0CB5"/>
    <w:rsid w:val="00A02844"/>
    <w:rsid w:val="00A03F43"/>
    <w:rsid w:val="00A14C5B"/>
    <w:rsid w:val="00A27E88"/>
    <w:rsid w:val="00A34848"/>
    <w:rsid w:val="00A47A7F"/>
    <w:rsid w:val="00A61F70"/>
    <w:rsid w:val="00A652E3"/>
    <w:rsid w:val="00A825E7"/>
    <w:rsid w:val="00A87307"/>
    <w:rsid w:val="00AB1248"/>
    <w:rsid w:val="00AB20C5"/>
    <w:rsid w:val="00AB2261"/>
    <w:rsid w:val="00AB6451"/>
    <w:rsid w:val="00AD7E19"/>
    <w:rsid w:val="00AE5102"/>
    <w:rsid w:val="00AE77B0"/>
    <w:rsid w:val="00AF1B84"/>
    <w:rsid w:val="00AF3B4B"/>
    <w:rsid w:val="00AF6E52"/>
    <w:rsid w:val="00AF7581"/>
    <w:rsid w:val="00AF7DD9"/>
    <w:rsid w:val="00B019F8"/>
    <w:rsid w:val="00B0469C"/>
    <w:rsid w:val="00B04806"/>
    <w:rsid w:val="00B054C1"/>
    <w:rsid w:val="00B0649D"/>
    <w:rsid w:val="00B072C1"/>
    <w:rsid w:val="00B2036F"/>
    <w:rsid w:val="00B262C3"/>
    <w:rsid w:val="00B26632"/>
    <w:rsid w:val="00B35E6A"/>
    <w:rsid w:val="00B41C94"/>
    <w:rsid w:val="00B50C56"/>
    <w:rsid w:val="00B524B1"/>
    <w:rsid w:val="00B61B8B"/>
    <w:rsid w:val="00B6415A"/>
    <w:rsid w:val="00B6740D"/>
    <w:rsid w:val="00B76AE6"/>
    <w:rsid w:val="00B91B74"/>
    <w:rsid w:val="00B93369"/>
    <w:rsid w:val="00BA0029"/>
    <w:rsid w:val="00BA43C8"/>
    <w:rsid w:val="00BA500B"/>
    <w:rsid w:val="00BA6E64"/>
    <w:rsid w:val="00BB02F0"/>
    <w:rsid w:val="00BC5E27"/>
    <w:rsid w:val="00BC624C"/>
    <w:rsid w:val="00BD32C1"/>
    <w:rsid w:val="00BF615A"/>
    <w:rsid w:val="00BF6713"/>
    <w:rsid w:val="00C33003"/>
    <w:rsid w:val="00C368FD"/>
    <w:rsid w:val="00C40ACC"/>
    <w:rsid w:val="00C45148"/>
    <w:rsid w:val="00C5179A"/>
    <w:rsid w:val="00C66B1E"/>
    <w:rsid w:val="00C730F4"/>
    <w:rsid w:val="00C8348D"/>
    <w:rsid w:val="00C84EAA"/>
    <w:rsid w:val="00C950E3"/>
    <w:rsid w:val="00CA0FC5"/>
    <w:rsid w:val="00CB3962"/>
    <w:rsid w:val="00CC2EDB"/>
    <w:rsid w:val="00CD33FA"/>
    <w:rsid w:val="00CD5C27"/>
    <w:rsid w:val="00CD66FD"/>
    <w:rsid w:val="00CD674C"/>
    <w:rsid w:val="00CE00A7"/>
    <w:rsid w:val="00CE7F55"/>
    <w:rsid w:val="00CF2436"/>
    <w:rsid w:val="00CF72BE"/>
    <w:rsid w:val="00D1411E"/>
    <w:rsid w:val="00D14236"/>
    <w:rsid w:val="00D22BB8"/>
    <w:rsid w:val="00D22EF6"/>
    <w:rsid w:val="00D234BA"/>
    <w:rsid w:val="00D243F4"/>
    <w:rsid w:val="00D424FD"/>
    <w:rsid w:val="00D456C0"/>
    <w:rsid w:val="00D46CF9"/>
    <w:rsid w:val="00D54EED"/>
    <w:rsid w:val="00D61FF2"/>
    <w:rsid w:val="00D62FAE"/>
    <w:rsid w:val="00D675BC"/>
    <w:rsid w:val="00D7337A"/>
    <w:rsid w:val="00D80C1C"/>
    <w:rsid w:val="00D87512"/>
    <w:rsid w:val="00D954C1"/>
    <w:rsid w:val="00D96310"/>
    <w:rsid w:val="00D969D2"/>
    <w:rsid w:val="00DA2120"/>
    <w:rsid w:val="00DA41AF"/>
    <w:rsid w:val="00DA626C"/>
    <w:rsid w:val="00DB2B7E"/>
    <w:rsid w:val="00DB66DE"/>
    <w:rsid w:val="00DC448B"/>
    <w:rsid w:val="00DC45F8"/>
    <w:rsid w:val="00DC65EC"/>
    <w:rsid w:val="00DD007F"/>
    <w:rsid w:val="00DD100A"/>
    <w:rsid w:val="00DE52DD"/>
    <w:rsid w:val="00E046BA"/>
    <w:rsid w:val="00E16350"/>
    <w:rsid w:val="00E35CD7"/>
    <w:rsid w:val="00E44F52"/>
    <w:rsid w:val="00E4747B"/>
    <w:rsid w:val="00E56981"/>
    <w:rsid w:val="00E704B1"/>
    <w:rsid w:val="00E71231"/>
    <w:rsid w:val="00E80298"/>
    <w:rsid w:val="00E83D9F"/>
    <w:rsid w:val="00E854A4"/>
    <w:rsid w:val="00E87615"/>
    <w:rsid w:val="00E87CBC"/>
    <w:rsid w:val="00E92831"/>
    <w:rsid w:val="00EA2D77"/>
    <w:rsid w:val="00EC01CD"/>
    <w:rsid w:val="00EC0492"/>
    <w:rsid w:val="00ED279B"/>
    <w:rsid w:val="00ED46B8"/>
    <w:rsid w:val="00ED4AD4"/>
    <w:rsid w:val="00EE25E7"/>
    <w:rsid w:val="00EE72A2"/>
    <w:rsid w:val="00EF3700"/>
    <w:rsid w:val="00EF56FA"/>
    <w:rsid w:val="00EF5835"/>
    <w:rsid w:val="00EF59E0"/>
    <w:rsid w:val="00F10FB6"/>
    <w:rsid w:val="00F15015"/>
    <w:rsid w:val="00F22A4D"/>
    <w:rsid w:val="00F25E04"/>
    <w:rsid w:val="00F32D5D"/>
    <w:rsid w:val="00F33CF4"/>
    <w:rsid w:val="00F34E27"/>
    <w:rsid w:val="00F3621B"/>
    <w:rsid w:val="00F36665"/>
    <w:rsid w:val="00F374C1"/>
    <w:rsid w:val="00F375A0"/>
    <w:rsid w:val="00F45382"/>
    <w:rsid w:val="00F54C8A"/>
    <w:rsid w:val="00F63254"/>
    <w:rsid w:val="00F66D7B"/>
    <w:rsid w:val="00F67B22"/>
    <w:rsid w:val="00F85DD2"/>
    <w:rsid w:val="00F95398"/>
    <w:rsid w:val="00FA36A2"/>
    <w:rsid w:val="00FA36F0"/>
    <w:rsid w:val="00FA40C1"/>
    <w:rsid w:val="00FA574B"/>
    <w:rsid w:val="00FB1ADA"/>
    <w:rsid w:val="00FB32BA"/>
    <w:rsid w:val="00FC7B74"/>
    <w:rsid w:val="00FE2DB0"/>
    <w:rsid w:val="00FE595F"/>
    <w:rsid w:val="00FF06F6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0E58"/>
  <w15:docId w15:val="{F8B1C460-80C9-AB46-8DE5-2FCD8C1E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36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1" w:line="249" w:lineRule="auto"/>
      <w:ind w:left="353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2818" w:right="14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6A60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6A60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A500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BA500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styleId="a4">
    <w:name w:val="Hyperlink"/>
    <w:basedOn w:val="a0"/>
    <w:uiPriority w:val="99"/>
    <w:rsid w:val="00BA500B"/>
    <w:rPr>
      <w:color w:val="0066CC"/>
      <w:u w:val="single"/>
    </w:rPr>
  </w:style>
  <w:style w:type="character" w:customStyle="1" w:styleId="6">
    <w:name w:val="Основной текст (6)"/>
    <w:basedOn w:val="a0"/>
    <w:rsid w:val="00BA500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Основной текст (2)_"/>
    <w:basedOn w:val="a0"/>
    <w:rsid w:val="00BA500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5">
    <w:name w:val="List Paragraph"/>
    <w:basedOn w:val="a"/>
    <w:uiPriority w:val="34"/>
    <w:qFormat/>
    <w:rsid w:val="00BA50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35A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0C2653"/>
  </w:style>
  <w:style w:type="paragraph" w:styleId="a6">
    <w:name w:val="No Spacing"/>
    <w:uiPriority w:val="1"/>
    <w:qFormat/>
    <w:rsid w:val="00F54C8A"/>
    <w:rPr>
      <w:rFonts w:ascii="Times New Roman" w:eastAsia="Times New Roman" w:hAnsi="Times New Roman" w:cs="Times New Roman"/>
    </w:rPr>
  </w:style>
  <w:style w:type="character" w:styleId="a7">
    <w:name w:val="annotation reference"/>
    <w:basedOn w:val="a0"/>
    <w:uiPriority w:val="99"/>
    <w:semiHidden/>
    <w:unhideWhenUsed/>
    <w:rsid w:val="006C5F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5F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5F2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5F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5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C5F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5F2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C605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e">
    <w:name w:val="footer"/>
    <w:basedOn w:val="a"/>
    <w:link w:val="af"/>
    <w:uiPriority w:val="99"/>
    <w:unhideWhenUsed/>
    <w:rsid w:val="00F3621B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F3621B"/>
    <w:rPr>
      <w:rFonts w:ascii="Calibri" w:eastAsia="Calibri" w:hAnsi="Calibri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A60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A60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A607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A607D"/>
    <w:rPr>
      <w:color w:val="954F72" w:themeColor="followedHyperlink"/>
      <w:u w:val="single"/>
    </w:rPr>
  </w:style>
  <w:style w:type="character" w:styleId="af1">
    <w:name w:val="Emphasis"/>
    <w:basedOn w:val="a0"/>
    <w:uiPriority w:val="20"/>
    <w:qFormat/>
    <w:rsid w:val="006A607D"/>
    <w:rPr>
      <w:i/>
      <w:iCs/>
    </w:rPr>
  </w:style>
  <w:style w:type="character" w:customStyle="1" w:styleId="24">
    <w:name w:val="Оглавление 2 Знак"/>
    <w:basedOn w:val="a0"/>
    <w:link w:val="25"/>
    <w:uiPriority w:val="39"/>
    <w:rsid w:val="006A607D"/>
    <w:rPr>
      <w:rFonts w:ascii="Calibri" w:eastAsia="Calibri" w:hAnsi="Calibri" w:cs="Calibri"/>
      <w:sz w:val="20"/>
      <w:szCs w:val="20"/>
      <w:shd w:val="clear" w:color="auto" w:fill="FFFFFF"/>
    </w:rPr>
  </w:style>
  <w:style w:type="paragraph" w:styleId="25">
    <w:name w:val="toc 2"/>
    <w:basedOn w:val="a"/>
    <w:link w:val="24"/>
    <w:autoRedefine/>
    <w:uiPriority w:val="39"/>
    <w:rsid w:val="006A607D"/>
    <w:pPr>
      <w:widowControl w:val="0"/>
      <w:shd w:val="clear" w:color="auto" w:fill="FFFFFF"/>
      <w:tabs>
        <w:tab w:val="right" w:leader="dot" w:pos="9345"/>
      </w:tabs>
      <w:spacing w:line="312" w:lineRule="exact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rvts23">
    <w:name w:val="rvts23"/>
    <w:basedOn w:val="a0"/>
    <w:rsid w:val="006A607D"/>
  </w:style>
  <w:style w:type="paragraph" w:styleId="12">
    <w:name w:val="toc 1"/>
    <w:basedOn w:val="a"/>
    <w:next w:val="a"/>
    <w:autoRedefine/>
    <w:uiPriority w:val="39"/>
    <w:unhideWhenUsed/>
    <w:rsid w:val="006A607D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6A607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6A607D"/>
    <w:pPr>
      <w:spacing w:after="100" w:line="259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Подпись к таблице_"/>
    <w:basedOn w:val="a0"/>
    <w:link w:val="af3"/>
    <w:rsid w:val="006A607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6A607D"/>
    <w:pPr>
      <w:widowControl w:val="0"/>
      <w:shd w:val="clear" w:color="auto" w:fill="FFFFFF"/>
      <w:spacing w:line="312" w:lineRule="exact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5">
    <w:name w:val="Подпись к таблице (5)_"/>
    <w:basedOn w:val="a0"/>
    <w:link w:val="50"/>
    <w:rsid w:val="006A607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6A607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26">
    <w:name w:val="Основной текст (2) + Полужирный"/>
    <w:basedOn w:val="22"/>
    <w:rsid w:val="006A60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Tahoma6pt">
    <w:name w:val="Основной текст (2) + Tahoma;6 pt;Полужирный"/>
    <w:basedOn w:val="22"/>
    <w:rsid w:val="006A6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05pt">
    <w:name w:val="Основной текст (2) + 10;5 pt;Курсив"/>
    <w:basedOn w:val="22"/>
    <w:rsid w:val="006A607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ranklinGothicHeavy4pt">
    <w:name w:val="Основной текст (2) + Franklin Gothic Heavy;4 pt"/>
    <w:basedOn w:val="22"/>
    <w:rsid w:val="006A607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table" w:customStyle="1" w:styleId="TableNormal1">
    <w:name w:val="Table Normal1"/>
    <w:uiPriority w:val="2"/>
    <w:semiHidden/>
    <w:unhideWhenUsed/>
    <w:qFormat/>
    <w:rsid w:val="006A607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607D"/>
    <w:pPr>
      <w:widowControl w:val="0"/>
      <w:autoSpaceDE w:val="0"/>
      <w:autoSpaceDN w:val="0"/>
      <w:jc w:val="center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Exact">
    <w:name w:val="Подпись к таблице Exact"/>
    <w:basedOn w:val="a0"/>
    <w:rsid w:val="006A607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ahoma6pt0">
    <w:name w:val="Основной текст (2) + Tahoma;6 pt"/>
    <w:basedOn w:val="22"/>
    <w:rsid w:val="006A6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styleId="af4">
    <w:name w:val="header"/>
    <w:basedOn w:val="a"/>
    <w:link w:val="af5"/>
    <w:uiPriority w:val="99"/>
    <w:unhideWhenUsed/>
    <w:rsid w:val="006A60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6A607D"/>
    <w:rPr>
      <w:rFonts w:eastAsiaTheme="minorHAnsi"/>
      <w:sz w:val="22"/>
      <w:szCs w:val="22"/>
      <w:lang w:eastAsia="en-US"/>
    </w:rPr>
  </w:style>
  <w:style w:type="paragraph" w:styleId="af6">
    <w:name w:val="Normal (Web)"/>
    <w:basedOn w:val="a"/>
    <w:uiPriority w:val="99"/>
    <w:rsid w:val="007E49B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8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9.jpg"/><Relationship Id="rId39" Type="http://schemas.openxmlformats.org/officeDocument/2006/relationships/footer" Target="footer2.xml"/><Relationship Id="rId21" Type="http://schemas.openxmlformats.org/officeDocument/2006/relationships/image" Target="media/image14.jpg"/><Relationship Id="rId34" Type="http://schemas.openxmlformats.org/officeDocument/2006/relationships/hyperlink" Target="http://www.cosmopharm.ru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7.jpg"/><Relationship Id="rId32" Type="http://schemas.openxmlformats.org/officeDocument/2006/relationships/hyperlink" Target="http://www.ystwt.com" TargetMode="External"/><Relationship Id="rId37" Type="http://schemas.openxmlformats.org/officeDocument/2006/relationships/hyperlink" Target="https://www.who.int/emergencies/diseases/novel-coronavirus-2019" TargetMode="Externa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jpg"/><Relationship Id="rId36" Type="http://schemas.openxmlformats.org/officeDocument/2006/relationships/hyperlink" Target="https://doi.org/10.1101/2020.03.07.20032524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hyperlink" Target="https://doi.org/10.7326/M20-0504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jp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hyperlink" Target="mailto:office@cosmopharm.ru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4312</Words>
  <Characters>24579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c98c88a64034af178774965ae7011fd2</vt:lpstr>
      <vt:lpstr>c98c88a64034af178774965ae7011fd2</vt:lpstr>
    </vt:vector>
  </TitlesOfParts>
  <Company/>
  <LinksUpToDate>false</LinksUpToDate>
  <CharactersWithSpaces>28834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c98c88a64034af178774965ae7011fd2</dc:title>
  <dc:subject/>
  <dc:creator>User</dc:creator>
  <cp:keywords/>
  <cp:lastModifiedBy>Irina Konelskaya</cp:lastModifiedBy>
  <cp:revision>3</cp:revision>
  <dcterms:created xsi:type="dcterms:W3CDTF">2021-07-01T08:25:00Z</dcterms:created>
  <dcterms:modified xsi:type="dcterms:W3CDTF">2021-07-01T22:42:00Z</dcterms:modified>
</cp:coreProperties>
</file>